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2C8C2" w14:textId="2AC52714" w:rsidR="003203AA" w:rsidRPr="003203AA" w:rsidRDefault="003203AA" w:rsidP="00A1611B">
      <w:pPr>
        <w:pStyle w:val="Untertitel"/>
        <w:rPr>
          <w:rFonts w:eastAsia="Times New Roman" w:cs="Times New Roman"/>
          <w:sz w:val="32"/>
          <w:lang w:val="en-GB" w:eastAsia="de-DE"/>
        </w:rPr>
      </w:pPr>
      <w:r w:rsidRPr="003203AA">
        <w:rPr>
          <w:rFonts w:eastAsia="Times New Roman" w:cs="Times New Roman"/>
          <w:sz w:val="32"/>
          <w:lang w:val="en-GB" w:eastAsia="de-DE"/>
        </w:rPr>
        <w:t xml:space="preserve">Dispensing of </w:t>
      </w:r>
      <w:r w:rsidR="00A4659D">
        <w:rPr>
          <w:rFonts w:eastAsia="Times New Roman" w:cs="Times New Roman"/>
          <w:sz w:val="32"/>
          <w:lang w:val="en-GB" w:eastAsia="de-DE"/>
        </w:rPr>
        <w:t>E</w:t>
      </w:r>
      <w:r w:rsidRPr="003203AA">
        <w:rPr>
          <w:rFonts w:eastAsia="Times New Roman" w:cs="Times New Roman"/>
          <w:sz w:val="32"/>
          <w:lang w:val="en-GB" w:eastAsia="de-DE"/>
        </w:rPr>
        <w:t xml:space="preserve">lectrically </w:t>
      </w:r>
      <w:r w:rsidR="00A4659D">
        <w:rPr>
          <w:rFonts w:eastAsia="Times New Roman" w:cs="Times New Roman"/>
          <w:sz w:val="32"/>
          <w:lang w:val="en-GB" w:eastAsia="de-DE"/>
        </w:rPr>
        <w:t>C</w:t>
      </w:r>
      <w:r w:rsidRPr="003203AA">
        <w:rPr>
          <w:rFonts w:eastAsia="Times New Roman" w:cs="Times New Roman"/>
          <w:sz w:val="32"/>
          <w:lang w:val="en-GB" w:eastAsia="de-DE"/>
        </w:rPr>
        <w:t xml:space="preserve">onductive </w:t>
      </w:r>
      <w:r w:rsidR="00A4659D">
        <w:rPr>
          <w:rFonts w:eastAsia="Times New Roman" w:cs="Times New Roman"/>
          <w:sz w:val="32"/>
          <w:lang w:val="en-GB" w:eastAsia="de-DE"/>
        </w:rPr>
        <w:t>M</w:t>
      </w:r>
      <w:r w:rsidRPr="003203AA">
        <w:rPr>
          <w:rFonts w:eastAsia="Times New Roman" w:cs="Times New Roman"/>
          <w:sz w:val="32"/>
          <w:lang w:val="en-GB" w:eastAsia="de-DE"/>
        </w:rPr>
        <w:t>aterials</w:t>
      </w:r>
    </w:p>
    <w:p w14:paraId="7E875B43" w14:textId="078A7AC5" w:rsidR="00C135DE" w:rsidRPr="003203AA" w:rsidRDefault="003203AA" w:rsidP="00A1611B">
      <w:pPr>
        <w:rPr>
          <w:lang w:val="en-GB"/>
        </w:rPr>
      </w:pPr>
      <w:r w:rsidRPr="003203AA">
        <w:rPr>
          <w:b/>
          <w:lang w:val="en-GB"/>
        </w:rPr>
        <w:t>Challenges in handling highly filled and abrasive materials</w:t>
      </w:r>
    </w:p>
    <w:p w14:paraId="20D0C2C0" w14:textId="0907152B" w:rsidR="003203AA" w:rsidRDefault="00982B0B" w:rsidP="00DD493C">
      <w:pPr>
        <w:pStyle w:val="StandardWeb"/>
        <w:tabs>
          <w:tab w:val="left" w:pos="8505"/>
        </w:tabs>
        <w:spacing w:before="0" w:after="240" w:line="360" w:lineRule="auto"/>
        <w:ind w:right="1707"/>
        <w:rPr>
          <w:rFonts w:cs="Arial"/>
          <w:lang w:val="en-GB"/>
        </w:rPr>
      </w:pPr>
      <w:r>
        <w:rPr>
          <w:rFonts w:cs="Arial"/>
          <w:lang w:val="en-GB"/>
        </w:rPr>
        <w:br/>
      </w:r>
      <w:r w:rsidR="00FA58E4">
        <w:rPr>
          <w:rFonts w:cs="Arial"/>
          <w:lang w:val="en-GB"/>
        </w:rPr>
        <w:t>When it comes to e</w:t>
      </w:r>
      <w:r w:rsidR="003203AA" w:rsidRPr="003203AA">
        <w:rPr>
          <w:rFonts w:cs="Arial"/>
          <w:lang w:val="en-GB"/>
        </w:rPr>
        <w:t>lectrically conductive materials</w:t>
      </w:r>
      <w:r w:rsidR="00FA58E4">
        <w:rPr>
          <w:rFonts w:cs="Arial"/>
          <w:lang w:val="en-GB"/>
        </w:rPr>
        <w:t xml:space="preserve">, we are dealing with </w:t>
      </w:r>
      <w:r w:rsidR="003203AA" w:rsidRPr="003203AA">
        <w:rPr>
          <w:rFonts w:cs="Arial"/>
          <w:lang w:val="en-GB"/>
        </w:rPr>
        <w:t>dispersions.</w:t>
      </w:r>
      <w:r w:rsidR="00FA58E4">
        <w:rPr>
          <w:rFonts w:cs="Arial"/>
          <w:lang w:val="en-GB"/>
        </w:rPr>
        <w:t xml:space="preserve"> They are generally referred to as</w:t>
      </w:r>
      <w:r w:rsidR="003203AA" w:rsidRPr="003203AA">
        <w:rPr>
          <w:rFonts w:cs="Arial"/>
          <w:lang w:val="en-GB"/>
        </w:rPr>
        <w:t xml:space="preserve"> electrically conductive adhesives, silicones or inks. </w:t>
      </w:r>
    </w:p>
    <w:p w14:paraId="06F0B803" w14:textId="5BF81A0E" w:rsidR="00BD7356" w:rsidRPr="003203AA" w:rsidRDefault="00264DB7" w:rsidP="00DD493C">
      <w:pPr>
        <w:pStyle w:val="StandardWeb"/>
        <w:tabs>
          <w:tab w:val="left" w:pos="8505"/>
        </w:tabs>
        <w:spacing w:before="0" w:after="240" w:line="360" w:lineRule="auto"/>
        <w:ind w:right="1707"/>
        <w:rPr>
          <w:rFonts w:cs="Arial"/>
          <w:lang w:val="en-GB"/>
        </w:rPr>
      </w:pPr>
      <w:r>
        <w:rPr>
          <w:rFonts w:cs="Arial"/>
          <w:noProof/>
        </w:rPr>
        <w:drawing>
          <wp:anchor distT="0" distB="107950" distL="114300" distR="180340" simplePos="0" relativeHeight="251661312" behindDoc="1" locked="0" layoutInCell="1" allowOverlap="1" wp14:anchorId="05C84BF4" wp14:editId="1D636B3B">
            <wp:simplePos x="0" y="0"/>
            <wp:positionH relativeFrom="column">
              <wp:posOffset>0</wp:posOffset>
            </wp:positionH>
            <wp:positionV relativeFrom="paragraph">
              <wp:posOffset>47625</wp:posOffset>
            </wp:positionV>
            <wp:extent cx="2538000" cy="3772800"/>
            <wp:effectExtent l="19050" t="19050" r="15240" b="18415"/>
            <wp:wrapTight wrapText="bothSides">
              <wp:wrapPolygon edited="0">
                <wp:start x="-162" y="-109"/>
                <wp:lineTo x="-162" y="21596"/>
                <wp:lineTo x="21568" y="21596"/>
                <wp:lineTo x="21568" y="-109"/>
                <wp:lineTo x="-162" y="-109"/>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8000" cy="377280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3203AA" w:rsidRPr="003203AA">
        <w:rPr>
          <w:rFonts w:cs="Arial"/>
          <w:noProof/>
          <w:lang w:val="en-GB"/>
        </w:rPr>
        <w:t xml:space="preserve">The materials are divided into different areas: </w:t>
      </w:r>
      <w:r w:rsidR="00A4659D">
        <w:rPr>
          <w:rFonts w:cs="Arial"/>
          <w:noProof/>
          <w:lang w:val="en-GB"/>
        </w:rPr>
        <w:t>E</w:t>
      </w:r>
      <w:r w:rsidR="003203AA" w:rsidRPr="003203AA">
        <w:rPr>
          <w:rFonts w:cs="Arial"/>
          <w:noProof/>
          <w:lang w:val="en-GB"/>
        </w:rPr>
        <w:t>poxy resins, polyurethanes, silicones and acrylates. Epoxy resins in particular stand out due to their processing and material properties. They are widely used in industry. The solids they contain correspond to the dispers</w:t>
      </w:r>
      <w:r w:rsidR="00FA58E4">
        <w:rPr>
          <w:rFonts w:cs="Arial"/>
          <w:noProof/>
          <w:lang w:val="en-GB"/>
        </w:rPr>
        <w:t>ion</w:t>
      </w:r>
      <w:r w:rsidR="003203AA" w:rsidRPr="003203AA">
        <w:rPr>
          <w:rFonts w:cs="Arial"/>
          <w:noProof/>
          <w:lang w:val="en-GB"/>
        </w:rPr>
        <w:t xml:space="preserve"> phase. They are electrically conductive. Common particle materials are silver, copper, carbon, nickel or gold.</w:t>
      </w:r>
    </w:p>
    <w:p w14:paraId="46576EDD" w14:textId="39CDB27E" w:rsidR="003203AA" w:rsidRPr="003203AA" w:rsidRDefault="003203AA" w:rsidP="003203AA">
      <w:pPr>
        <w:pStyle w:val="StandardWeb"/>
        <w:tabs>
          <w:tab w:val="left" w:pos="8505"/>
        </w:tabs>
        <w:spacing w:after="240" w:line="360" w:lineRule="auto"/>
        <w:ind w:right="1707"/>
        <w:rPr>
          <w:rFonts w:cs="Arial"/>
          <w:lang w:val="en-GB"/>
        </w:rPr>
      </w:pPr>
      <w:r w:rsidRPr="003203AA">
        <w:rPr>
          <w:rFonts w:cs="Arial"/>
          <w:lang w:val="en-GB"/>
        </w:rPr>
        <w:t xml:space="preserve">Another conductive material is graphene, a modification of carbon with a two-dimensional structure. In addition to its high thermal and electrical conductivity, this solid is characterized by its low density and high tensile strength. At present, the first </w:t>
      </w:r>
      <w:r w:rsidR="00FA58E4">
        <w:rPr>
          <w:rFonts w:cs="Arial"/>
          <w:lang w:val="en-GB"/>
        </w:rPr>
        <w:t>dispensing</w:t>
      </w:r>
      <w:r w:rsidRPr="003203AA">
        <w:rPr>
          <w:rFonts w:cs="Arial"/>
          <w:lang w:val="en-GB"/>
        </w:rPr>
        <w:t xml:space="preserve"> tests are being carried out to determine when the material will be available for industrial applications, but this is not yet foreseeable. According to the first results, it should be well suited for applications in the wearable and electronics industries. </w:t>
      </w:r>
    </w:p>
    <w:p w14:paraId="57155713" w14:textId="77777777" w:rsidR="003203AA" w:rsidRPr="003203AA" w:rsidRDefault="003203AA" w:rsidP="003203AA">
      <w:pPr>
        <w:pStyle w:val="Untertitel"/>
        <w:rPr>
          <w:rFonts w:eastAsia="Times New Roman"/>
          <w:b w:val="0"/>
          <w:lang w:val="en-GB" w:eastAsia="de-DE"/>
        </w:rPr>
      </w:pPr>
      <w:r w:rsidRPr="003203AA">
        <w:rPr>
          <w:rFonts w:eastAsia="Times New Roman"/>
          <w:b w:val="0"/>
          <w:lang w:val="en-GB" w:eastAsia="de-DE"/>
        </w:rPr>
        <w:t>Electrically conductive adhesives are used in a wide variety of industries. The automotive, aerospace and especially the electronics industries are driving the demand for electrically conductive materials. In addition to America and Europe, the Pacific-Asian region is predicted to be the core market in the future. This is related to the expected growth of the electronics industry in China and India.</w:t>
      </w:r>
    </w:p>
    <w:p w14:paraId="40497AE4" w14:textId="6FC3CDA9" w:rsidR="007B55C4" w:rsidRPr="003203AA" w:rsidRDefault="003203AA" w:rsidP="003203AA">
      <w:pPr>
        <w:pStyle w:val="Untertitel"/>
        <w:rPr>
          <w:lang w:val="en-GB"/>
        </w:rPr>
      </w:pPr>
      <w:r w:rsidRPr="003203AA">
        <w:rPr>
          <w:lang w:val="en-GB"/>
        </w:rPr>
        <w:lastRenderedPageBreak/>
        <w:t>Typical applications for electrically conductive adhesives</w:t>
      </w:r>
    </w:p>
    <w:p w14:paraId="5DFC668D" w14:textId="0B993768" w:rsidR="007B55C4" w:rsidRPr="003203AA" w:rsidRDefault="00F6786C" w:rsidP="003203AA">
      <w:pPr>
        <w:pStyle w:val="Presse-Fliesstext"/>
        <w:spacing w:before="240"/>
        <w:rPr>
          <w:noProof/>
          <w:lang w:val="en-GB"/>
        </w:rPr>
      </w:pPr>
      <w:r>
        <w:rPr>
          <w:noProof/>
          <w:lang w:val="de-DE"/>
        </w:rPr>
        <w:drawing>
          <wp:anchor distT="0" distB="107950" distL="114300" distR="180340" simplePos="0" relativeHeight="251659264" behindDoc="1" locked="0" layoutInCell="1" allowOverlap="1" wp14:anchorId="52933F69" wp14:editId="7D85F08C">
            <wp:simplePos x="0" y="0"/>
            <wp:positionH relativeFrom="column">
              <wp:posOffset>3810</wp:posOffset>
            </wp:positionH>
            <wp:positionV relativeFrom="paragraph">
              <wp:posOffset>716915</wp:posOffset>
            </wp:positionV>
            <wp:extent cx="2538000" cy="1900800"/>
            <wp:effectExtent l="19050" t="19050" r="15240" b="23495"/>
            <wp:wrapTight wrapText="bothSides">
              <wp:wrapPolygon edited="0">
                <wp:start x="-162" y="-217"/>
                <wp:lineTo x="-162" y="21651"/>
                <wp:lineTo x="21568" y="21651"/>
                <wp:lineTo x="21568" y="-217"/>
                <wp:lineTo x="-162" y="-217"/>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8000" cy="190080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3203AA" w:rsidRPr="003203AA">
        <w:rPr>
          <w:noProof/>
          <w:lang w:val="en-GB"/>
        </w:rPr>
        <w:t xml:space="preserve">Typical applications for electrically conductive adhesives include the protection of electronic components against electrostatic discharges (ESD). But also the direct mounting of unhoused semi-conductor chips on printed circuit boards (Direct Chip Attach), where the chip is glued directly onto the substrate. These are isotropic materials that allow electricity to flow in all directions. They are also used in the assembly of surface mount devices (SMD). </w:t>
      </w:r>
      <w:r w:rsidR="00FA58E4">
        <w:rPr>
          <w:noProof/>
          <w:lang w:val="en-GB"/>
        </w:rPr>
        <w:t>On the other hand, a</w:t>
      </w:r>
      <w:r w:rsidR="003203AA" w:rsidRPr="003203AA">
        <w:rPr>
          <w:noProof/>
          <w:lang w:val="en-GB"/>
        </w:rPr>
        <w:t>nisotropic materials are</w:t>
      </w:r>
      <w:r w:rsidR="00FA58E4">
        <w:rPr>
          <w:noProof/>
          <w:lang w:val="en-GB"/>
        </w:rPr>
        <w:t xml:space="preserve"> also</w:t>
      </w:r>
      <w:r w:rsidR="003203AA" w:rsidRPr="003203AA">
        <w:rPr>
          <w:noProof/>
          <w:lang w:val="en-GB"/>
        </w:rPr>
        <w:t xml:space="preserve"> available</w:t>
      </w:r>
      <w:r w:rsidR="00FA58E4">
        <w:rPr>
          <w:noProof/>
          <w:lang w:val="en-GB"/>
        </w:rPr>
        <w:t>.</w:t>
      </w:r>
      <w:r w:rsidR="003203AA" w:rsidRPr="003203AA">
        <w:rPr>
          <w:noProof/>
          <w:lang w:val="en-GB"/>
        </w:rPr>
        <w:t xml:space="preserve"> They allow electricity to flow in only one direction. They are used in the manufacture of LCD connections and RFID antennas.</w:t>
      </w:r>
      <w:r w:rsidR="00DD493C" w:rsidRPr="003203AA">
        <w:rPr>
          <w:rFonts w:eastAsia="Times New Roman"/>
          <w:lang w:val="en-GB" w:eastAsia="de-DE"/>
        </w:rPr>
        <w:t xml:space="preserve"> </w:t>
      </w:r>
    </w:p>
    <w:p w14:paraId="3FD588F5" w14:textId="12DAE3AF" w:rsidR="00DF5BFB" w:rsidRPr="003203AA" w:rsidRDefault="003203AA" w:rsidP="00DD493C">
      <w:pPr>
        <w:pStyle w:val="StandardWeb"/>
        <w:tabs>
          <w:tab w:val="left" w:pos="8505"/>
        </w:tabs>
        <w:spacing w:before="0" w:after="240" w:line="360" w:lineRule="auto"/>
        <w:ind w:right="1707"/>
        <w:rPr>
          <w:rFonts w:cs="Arial"/>
          <w:b/>
          <w:lang w:val="en-GB"/>
        </w:rPr>
      </w:pPr>
      <w:r w:rsidRPr="003203AA">
        <w:rPr>
          <w:rFonts w:cs="Arial"/>
          <w:lang w:val="en-GB"/>
        </w:rPr>
        <w:t>There is also great potential in the substitution of soldering processes for temperature-sensitive substrates. The curing temperatures of adhesives are significantly lower than those of soldering processes. They are also more flexible than solder metals and can withstand vibrations better. There are also solvent-free adhesives</w:t>
      </w:r>
      <w:r w:rsidR="00FA58E4">
        <w:rPr>
          <w:rFonts w:cs="Arial"/>
          <w:lang w:val="en-GB"/>
        </w:rPr>
        <w:t xml:space="preserve"> which</w:t>
      </w:r>
      <w:r w:rsidRPr="003203AA">
        <w:rPr>
          <w:rFonts w:cs="Arial"/>
          <w:lang w:val="en-GB"/>
        </w:rPr>
        <w:t xml:space="preserve"> are more environmentally friendly than solder metals.</w:t>
      </w:r>
    </w:p>
    <w:p w14:paraId="46013AC0" w14:textId="77777777" w:rsidR="003203AA" w:rsidRPr="00FA58E4" w:rsidRDefault="003203AA" w:rsidP="00DD493C">
      <w:pPr>
        <w:pStyle w:val="StandardWeb"/>
        <w:tabs>
          <w:tab w:val="left" w:pos="8505"/>
        </w:tabs>
        <w:spacing w:before="0" w:after="240" w:line="360" w:lineRule="auto"/>
        <w:ind w:right="1707"/>
        <w:rPr>
          <w:rFonts w:cs="Arial"/>
          <w:b/>
          <w:lang w:val="en-GB"/>
        </w:rPr>
      </w:pPr>
      <w:r w:rsidRPr="00FA58E4">
        <w:rPr>
          <w:rFonts w:cs="Arial"/>
          <w:b/>
          <w:lang w:val="en-GB"/>
        </w:rPr>
        <w:t>Solids in electrically conductive materials</w:t>
      </w:r>
    </w:p>
    <w:p w14:paraId="1DFAFAFD" w14:textId="2B3909A8" w:rsidR="003203AA" w:rsidRPr="003203AA" w:rsidRDefault="003203AA" w:rsidP="003203AA">
      <w:pPr>
        <w:pStyle w:val="StandardWeb"/>
        <w:tabs>
          <w:tab w:val="left" w:pos="8505"/>
        </w:tabs>
        <w:spacing w:after="240" w:line="360" w:lineRule="auto"/>
        <w:ind w:right="1707"/>
        <w:rPr>
          <w:rFonts w:cs="Arial"/>
          <w:lang w:val="en-GB"/>
        </w:rPr>
      </w:pPr>
      <w:r w:rsidRPr="003203AA">
        <w:rPr>
          <w:rFonts w:cs="Arial"/>
          <w:lang w:val="en-GB"/>
        </w:rPr>
        <w:t>The particles in electrically conductive materials often have a diameter of 25 µm and more. As a rule, these are coarse disperse systems in which the Shore hardness of the particles exceeds D90. The solids content varies depending on the material manufacturer and application. Usually it is between 75</w:t>
      </w:r>
      <w:r w:rsidR="007A104A">
        <w:rPr>
          <w:rFonts w:cs="Arial"/>
          <w:lang w:val="en-GB"/>
        </w:rPr>
        <w:t xml:space="preserve"> %</w:t>
      </w:r>
      <w:r w:rsidRPr="003203AA">
        <w:rPr>
          <w:rFonts w:cs="Arial"/>
          <w:lang w:val="en-GB"/>
        </w:rPr>
        <w:t xml:space="preserve"> and 90 %, so it </w:t>
      </w:r>
      <w:r w:rsidR="00FA58E4">
        <w:rPr>
          <w:rFonts w:cs="Arial"/>
          <w:lang w:val="en-GB"/>
        </w:rPr>
        <w:t>can be considered as highly</w:t>
      </w:r>
      <w:r w:rsidRPr="003203AA">
        <w:rPr>
          <w:rFonts w:cs="Arial"/>
          <w:lang w:val="en-GB"/>
        </w:rPr>
        <w:t xml:space="preserve"> filled and abrasive materials. </w:t>
      </w:r>
    </w:p>
    <w:p w14:paraId="17BA12C1" w14:textId="02332BB4" w:rsidR="003203AA" w:rsidRDefault="003203AA" w:rsidP="003203AA">
      <w:pPr>
        <w:pStyle w:val="StandardWeb"/>
        <w:tabs>
          <w:tab w:val="left" w:pos="8505"/>
        </w:tabs>
        <w:spacing w:before="0" w:after="240" w:line="360" w:lineRule="auto"/>
        <w:ind w:right="1707"/>
        <w:rPr>
          <w:rFonts w:cs="Arial"/>
          <w:lang w:val="en-GB"/>
        </w:rPr>
      </w:pPr>
      <w:r w:rsidRPr="003203AA">
        <w:rPr>
          <w:rFonts w:cs="Arial"/>
          <w:lang w:val="en-GB"/>
        </w:rPr>
        <w:t>The difference in density between the dispers</w:t>
      </w:r>
      <w:r w:rsidR="00294FE9">
        <w:rPr>
          <w:rFonts w:cs="Arial"/>
          <w:lang w:val="en-GB"/>
        </w:rPr>
        <w:t>ion</w:t>
      </w:r>
      <w:r w:rsidRPr="003203AA">
        <w:rPr>
          <w:rFonts w:cs="Arial"/>
          <w:lang w:val="en-GB"/>
        </w:rPr>
        <w:t xml:space="preserve"> phase and the dispersion m</w:t>
      </w:r>
      <w:r w:rsidR="00FA58E4">
        <w:rPr>
          <w:rFonts w:cs="Arial"/>
          <w:lang w:val="en-GB"/>
        </w:rPr>
        <w:t>aterial</w:t>
      </w:r>
      <w:r w:rsidRPr="003203AA">
        <w:rPr>
          <w:rFonts w:cs="Arial"/>
          <w:lang w:val="en-GB"/>
        </w:rPr>
        <w:t xml:space="preserve"> can lead to sedimentation. </w:t>
      </w:r>
    </w:p>
    <w:p w14:paraId="7E239EFA" w14:textId="673C5D39" w:rsidR="003203AA" w:rsidRPr="00FA58E4" w:rsidRDefault="003203AA" w:rsidP="003203AA">
      <w:pPr>
        <w:pStyle w:val="StandardWeb"/>
        <w:tabs>
          <w:tab w:val="left" w:pos="8505"/>
        </w:tabs>
        <w:spacing w:before="0" w:after="240" w:line="360" w:lineRule="auto"/>
        <w:ind w:right="1707"/>
        <w:rPr>
          <w:rFonts w:cs="Arial"/>
          <w:lang w:val="en-GB"/>
        </w:rPr>
      </w:pPr>
      <w:r w:rsidRPr="003203AA">
        <w:rPr>
          <w:rFonts w:cs="Arial"/>
          <w:lang w:val="en-GB"/>
        </w:rPr>
        <w:t xml:space="preserve">Industrial applications, however, require a homogeneous product, since a uniform solids content is required for a valid process. For this reason, suitable dispersion agents are selected that prevent or reduce sedimentation during storage and processing of the </w:t>
      </w:r>
      <w:r w:rsidRPr="003203AA">
        <w:rPr>
          <w:rFonts w:cs="Arial"/>
          <w:lang w:val="en-GB"/>
        </w:rPr>
        <w:lastRenderedPageBreak/>
        <w:t>product. This results in high viscosities for electrically conductive materials. When d</w:t>
      </w:r>
      <w:r w:rsidR="00294FE9">
        <w:rPr>
          <w:rFonts w:cs="Arial"/>
          <w:lang w:val="en-GB"/>
        </w:rPr>
        <w:t>ispens</w:t>
      </w:r>
      <w:r w:rsidRPr="003203AA">
        <w:rPr>
          <w:rFonts w:cs="Arial"/>
          <w:lang w:val="en-GB"/>
        </w:rPr>
        <w:t>ing these materials, users are faced with the challenge of d</w:t>
      </w:r>
      <w:r w:rsidR="00294FE9">
        <w:rPr>
          <w:rFonts w:cs="Arial"/>
          <w:lang w:val="en-GB"/>
        </w:rPr>
        <w:t>ispen</w:t>
      </w:r>
      <w:r w:rsidRPr="003203AA">
        <w:rPr>
          <w:rFonts w:cs="Arial"/>
          <w:lang w:val="en-GB"/>
        </w:rPr>
        <w:t>sing abrasive ma</w:t>
      </w:r>
      <w:r w:rsidR="00294FE9">
        <w:rPr>
          <w:rFonts w:cs="Arial"/>
          <w:lang w:val="en-GB"/>
        </w:rPr>
        <w:t>terial</w:t>
      </w:r>
      <w:r w:rsidRPr="003203AA">
        <w:rPr>
          <w:rFonts w:cs="Arial"/>
          <w:lang w:val="en-GB"/>
        </w:rPr>
        <w:t xml:space="preserve"> with a high degree of accuracy</w:t>
      </w:r>
      <w:r w:rsidR="00294FE9">
        <w:rPr>
          <w:rFonts w:cs="Arial"/>
          <w:lang w:val="en-GB"/>
        </w:rPr>
        <w:t xml:space="preserve">, </w:t>
      </w:r>
      <w:r w:rsidRPr="003203AA">
        <w:rPr>
          <w:rFonts w:cs="Arial"/>
          <w:lang w:val="en-GB"/>
        </w:rPr>
        <w:t>independen</w:t>
      </w:r>
      <w:r w:rsidR="00294FE9">
        <w:rPr>
          <w:rFonts w:cs="Arial"/>
          <w:lang w:val="en-GB"/>
        </w:rPr>
        <w:t>t</w:t>
      </w:r>
      <w:r w:rsidRPr="003203AA">
        <w:rPr>
          <w:rFonts w:cs="Arial"/>
          <w:lang w:val="en-GB"/>
        </w:rPr>
        <w:t xml:space="preserve"> of viscosity. </w:t>
      </w:r>
      <w:r w:rsidRPr="00FA58E4">
        <w:rPr>
          <w:rFonts w:cs="Arial"/>
          <w:lang w:val="en-GB"/>
        </w:rPr>
        <w:t>T</w:t>
      </w:r>
      <w:r w:rsidR="00294FE9">
        <w:rPr>
          <w:rFonts w:cs="Arial"/>
          <w:lang w:val="en-GB"/>
        </w:rPr>
        <w:t>his</w:t>
      </w:r>
      <w:r w:rsidRPr="00FA58E4">
        <w:rPr>
          <w:rFonts w:cs="Arial"/>
          <w:lang w:val="en-GB"/>
        </w:rPr>
        <w:t xml:space="preserve"> guarantee</w:t>
      </w:r>
      <w:r w:rsidR="00294FE9">
        <w:rPr>
          <w:rFonts w:cs="Arial"/>
          <w:lang w:val="en-GB"/>
        </w:rPr>
        <w:t>s</w:t>
      </w:r>
      <w:r w:rsidRPr="00FA58E4">
        <w:rPr>
          <w:rFonts w:cs="Arial"/>
          <w:lang w:val="en-GB"/>
        </w:rPr>
        <w:t xml:space="preserve"> process reliability and reduce</w:t>
      </w:r>
      <w:r w:rsidR="007A104A">
        <w:rPr>
          <w:rFonts w:cs="Arial"/>
          <w:lang w:val="en-GB"/>
        </w:rPr>
        <w:t>s</w:t>
      </w:r>
      <w:r w:rsidRPr="00FA58E4">
        <w:rPr>
          <w:rFonts w:cs="Arial"/>
          <w:lang w:val="en-GB"/>
        </w:rPr>
        <w:t xml:space="preserve"> material costs.</w:t>
      </w:r>
    </w:p>
    <w:p w14:paraId="77872D8D" w14:textId="3796D921" w:rsidR="007B55C4" w:rsidRPr="00FA58E4" w:rsidRDefault="007B55C4" w:rsidP="003203AA">
      <w:pPr>
        <w:pStyle w:val="StandardWeb"/>
        <w:tabs>
          <w:tab w:val="left" w:pos="8505"/>
        </w:tabs>
        <w:spacing w:before="0" w:after="240" w:line="360" w:lineRule="auto"/>
        <w:ind w:right="1707"/>
        <w:rPr>
          <w:rFonts w:cs="Arial"/>
          <w:lang w:val="en-GB"/>
        </w:rPr>
      </w:pPr>
    </w:p>
    <w:p w14:paraId="7FBA0277" w14:textId="62AE6B2D" w:rsidR="003203AA" w:rsidRPr="003203AA" w:rsidRDefault="003203AA" w:rsidP="007B55C4">
      <w:pPr>
        <w:pStyle w:val="Presse-Fliesstext"/>
        <w:spacing w:after="240"/>
        <w:rPr>
          <w:b/>
          <w:lang w:val="en-GB"/>
        </w:rPr>
      </w:pPr>
      <w:r w:rsidRPr="003203AA">
        <w:rPr>
          <w:b/>
          <w:lang w:val="en-GB"/>
        </w:rPr>
        <w:t>D</w:t>
      </w:r>
      <w:r>
        <w:rPr>
          <w:b/>
          <w:lang w:val="en-GB"/>
        </w:rPr>
        <w:t>ispen</w:t>
      </w:r>
      <w:r w:rsidRPr="003203AA">
        <w:rPr>
          <w:b/>
          <w:lang w:val="en-GB"/>
        </w:rPr>
        <w:t>sing devices for electrically conductive materials</w:t>
      </w:r>
    </w:p>
    <w:p w14:paraId="0AF851CF" w14:textId="0E6A5292" w:rsidR="003203AA" w:rsidRDefault="00F75183" w:rsidP="007B55C4">
      <w:pPr>
        <w:pStyle w:val="Presse-Fliesstext"/>
        <w:spacing w:after="240"/>
        <w:rPr>
          <w:lang w:val="en-GB"/>
        </w:rPr>
      </w:pPr>
      <w:r>
        <w:rPr>
          <w:noProof/>
        </w:rPr>
        <w:drawing>
          <wp:anchor distT="0" distB="107950" distL="114300" distR="180340" simplePos="0" relativeHeight="251658240" behindDoc="1" locked="0" layoutInCell="1" allowOverlap="1" wp14:anchorId="57EF8C9A" wp14:editId="26F33F3C">
            <wp:simplePos x="0" y="0"/>
            <wp:positionH relativeFrom="column">
              <wp:posOffset>26782</wp:posOffset>
            </wp:positionH>
            <wp:positionV relativeFrom="paragraph">
              <wp:posOffset>38959</wp:posOffset>
            </wp:positionV>
            <wp:extent cx="2393950" cy="3519805"/>
            <wp:effectExtent l="19050" t="19050" r="25400" b="23495"/>
            <wp:wrapTight wrapText="bothSides">
              <wp:wrapPolygon edited="0">
                <wp:start x="-172" y="-117"/>
                <wp:lineTo x="-172" y="21627"/>
                <wp:lineTo x="21657" y="21627"/>
                <wp:lineTo x="21657" y="-117"/>
                <wp:lineTo x="-172" y="-117"/>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93950" cy="351980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3203AA" w:rsidRPr="003203AA">
        <w:rPr>
          <w:lang w:val="en-GB"/>
        </w:rPr>
        <w:t xml:space="preserve">ViscoTec </w:t>
      </w:r>
      <w:r w:rsidR="007A104A" w:rsidRPr="007A104A">
        <w:rPr>
          <w:lang w:val="en-GB"/>
        </w:rPr>
        <w:t>–</w:t>
      </w:r>
      <w:r w:rsidR="003203AA" w:rsidRPr="003203AA">
        <w:rPr>
          <w:lang w:val="en-GB"/>
        </w:rPr>
        <w:t xml:space="preserve"> specialized in </w:t>
      </w:r>
      <w:r w:rsidR="00294FE9">
        <w:rPr>
          <w:lang w:val="en-GB"/>
        </w:rPr>
        <w:t>transferr</w:t>
      </w:r>
      <w:r w:rsidR="003203AA" w:rsidRPr="003203AA">
        <w:rPr>
          <w:lang w:val="en-GB"/>
        </w:rPr>
        <w:t>ing, processing and d</w:t>
      </w:r>
      <w:r w:rsidR="00294FE9">
        <w:rPr>
          <w:lang w:val="en-GB"/>
        </w:rPr>
        <w:t>ispens</w:t>
      </w:r>
      <w:r w:rsidR="003203AA" w:rsidRPr="003203AA">
        <w:rPr>
          <w:lang w:val="en-GB"/>
        </w:rPr>
        <w:t xml:space="preserve">ing highly viscous, structure-sensitive and solids-laden liquids </w:t>
      </w:r>
      <w:r w:rsidR="007A104A" w:rsidRPr="007A104A">
        <w:rPr>
          <w:lang w:val="en-GB"/>
        </w:rPr>
        <w:t>–</w:t>
      </w:r>
      <w:r w:rsidR="003203AA" w:rsidRPr="003203AA">
        <w:rPr>
          <w:lang w:val="en-GB"/>
        </w:rPr>
        <w:t xml:space="preserve"> offers precise d</w:t>
      </w:r>
      <w:r w:rsidR="003203AA">
        <w:rPr>
          <w:lang w:val="en-GB"/>
        </w:rPr>
        <w:t>ispen</w:t>
      </w:r>
      <w:r w:rsidR="003203AA" w:rsidRPr="003203AA">
        <w:rPr>
          <w:lang w:val="en-GB"/>
        </w:rPr>
        <w:t>sing solutions with its</w:t>
      </w:r>
      <w:r w:rsidR="00294FE9">
        <w:rPr>
          <w:lang w:val="en-GB"/>
        </w:rPr>
        <w:t xml:space="preserve"> </w:t>
      </w:r>
      <w:r w:rsidR="003203AA" w:rsidRPr="003203AA">
        <w:rPr>
          <w:lang w:val="en-GB"/>
        </w:rPr>
        <w:t>preeflow</w:t>
      </w:r>
      <w:r w:rsidR="00294FE9">
        <w:rPr>
          <w:lang w:val="en-GB"/>
        </w:rPr>
        <w:t xml:space="preserve"> </w:t>
      </w:r>
      <w:r w:rsidR="00294FE9" w:rsidRPr="003203AA">
        <w:rPr>
          <w:lang w:val="en-GB"/>
        </w:rPr>
        <w:t>brand</w:t>
      </w:r>
      <w:r w:rsidR="003203AA" w:rsidRPr="003203AA">
        <w:rPr>
          <w:lang w:val="en-GB"/>
        </w:rPr>
        <w:t>. Due to the properties of abrasive fillers, pump types such as peristaltic or rotary lobe pumps are only conditionally suitable for d</w:t>
      </w:r>
      <w:r w:rsidR="003203AA">
        <w:rPr>
          <w:lang w:val="en-GB"/>
        </w:rPr>
        <w:t>ispen</w:t>
      </w:r>
      <w:r w:rsidR="003203AA" w:rsidRPr="003203AA">
        <w:rPr>
          <w:lang w:val="en-GB"/>
        </w:rPr>
        <w:t xml:space="preserve">sing highly filled materials. preeflow </w:t>
      </w:r>
      <w:proofErr w:type="spellStart"/>
      <w:r w:rsidR="003203AA" w:rsidRPr="003203AA">
        <w:rPr>
          <w:lang w:val="en-GB"/>
        </w:rPr>
        <w:t>microdispensers</w:t>
      </w:r>
      <w:proofErr w:type="spellEnd"/>
      <w:r w:rsidR="003203AA" w:rsidRPr="003203AA">
        <w:rPr>
          <w:lang w:val="en-GB"/>
        </w:rPr>
        <w:t xml:space="preserve"> have proven themselves in this field. </w:t>
      </w:r>
    </w:p>
    <w:p w14:paraId="09DD2C54" w14:textId="40947C26" w:rsidR="003203AA" w:rsidRDefault="003203AA" w:rsidP="00213CF2">
      <w:pPr>
        <w:pStyle w:val="Untertitel"/>
        <w:rPr>
          <w:b w:val="0"/>
          <w:lang w:val="en-GB"/>
        </w:rPr>
      </w:pPr>
      <w:r w:rsidRPr="003203AA">
        <w:rPr>
          <w:b w:val="0"/>
          <w:lang w:val="en-GB"/>
        </w:rPr>
        <w:t xml:space="preserve">As a </w:t>
      </w:r>
      <w:r w:rsidR="00294FE9">
        <w:rPr>
          <w:b w:val="0"/>
          <w:lang w:val="en-GB"/>
        </w:rPr>
        <w:t>progressive cavity</w:t>
      </w:r>
      <w:r w:rsidRPr="003203AA">
        <w:rPr>
          <w:b w:val="0"/>
          <w:lang w:val="en-GB"/>
        </w:rPr>
        <w:t xml:space="preserve"> pump, they are among the rotating positive displacement pumps. The stainless steel rotor moves eccentrically in an elastomer stator. The interaction of rotor and stator creates chambers. The size of the alternating opening chambers is also constant during rotation, so that there is no compression of the </w:t>
      </w:r>
      <w:r w:rsidR="00294FE9">
        <w:rPr>
          <w:b w:val="0"/>
          <w:lang w:val="en-GB"/>
        </w:rPr>
        <w:t>transferr</w:t>
      </w:r>
      <w:r w:rsidRPr="003203AA">
        <w:rPr>
          <w:b w:val="0"/>
          <w:lang w:val="en-GB"/>
        </w:rPr>
        <w:t>ed product. Due to this d</w:t>
      </w:r>
      <w:r w:rsidR="00294FE9">
        <w:rPr>
          <w:b w:val="0"/>
          <w:lang w:val="en-GB"/>
        </w:rPr>
        <w:t>ispen</w:t>
      </w:r>
      <w:r w:rsidRPr="003203AA">
        <w:rPr>
          <w:b w:val="0"/>
          <w:lang w:val="en-GB"/>
        </w:rPr>
        <w:t xml:space="preserve">sing geometry, a constant volume is always </w:t>
      </w:r>
      <w:r w:rsidR="00294FE9">
        <w:rPr>
          <w:b w:val="0"/>
          <w:lang w:val="en-GB"/>
        </w:rPr>
        <w:t>transferr</w:t>
      </w:r>
      <w:r w:rsidRPr="003203AA">
        <w:rPr>
          <w:b w:val="0"/>
          <w:lang w:val="en-GB"/>
        </w:rPr>
        <w:t>ed per revolution in proportion to the angle of rotation. Independent of the viscosity of the d</w:t>
      </w:r>
      <w:r w:rsidR="00294FE9">
        <w:rPr>
          <w:b w:val="0"/>
          <w:lang w:val="en-GB"/>
        </w:rPr>
        <w:t>i</w:t>
      </w:r>
      <w:r w:rsidRPr="003203AA">
        <w:rPr>
          <w:b w:val="0"/>
          <w:lang w:val="en-GB"/>
        </w:rPr>
        <w:t>s</w:t>
      </w:r>
      <w:r w:rsidR="00294FE9">
        <w:rPr>
          <w:b w:val="0"/>
          <w:lang w:val="en-GB"/>
        </w:rPr>
        <w:t>pens</w:t>
      </w:r>
      <w:r w:rsidRPr="003203AA">
        <w:rPr>
          <w:b w:val="0"/>
          <w:lang w:val="en-GB"/>
        </w:rPr>
        <w:t>ing material and with pulsation-free product flow.</w:t>
      </w:r>
    </w:p>
    <w:p w14:paraId="3F03B194" w14:textId="37ADBEE6" w:rsidR="009C1FEC" w:rsidRPr="003203AA" w:rsidRDefault="009C1FEC" w:rsidP="00213CF2">
      <w:pPr>
        <w:pStyle w:val="Untertitel"/>
        <w:rPr>
          <w:b w:val="0"/>
          <w:lang w:val="en-GB"/>
        </w:rPr>
      </w:pPr>
    </w:p>
    <w:p w14:paraId="1902A4BA" w14:textId="77777777" w:rsidR="00F75183" w:rsidRDefault="00F75183" w:rsidP="003203AA">
      <w:pPr>
        <w:pStyle w:val="StandardWeb"/>
        <w:tabs>
          <w:tab w:val="left" w:pos="8505"/>
        </w:tabs>
        <w:spacing w:before="0" w:after="240" w:line="360" w:lineRule="auto"/>
        <w:ind w:right="1707"/>
        <w:jc w:val="left"/>
        <w:rPr>
          <w:rFonts w:eastAsiaTheme="minorHAnsi" w:cs="Arial"/>
          <w:b/>
          <w:lang w:val="en-GB" w:eastAsia="en-US"/>
        </w:rPr>
      </w:pPr>
    </w:p>
    <w:p w14:paraId="74795E5A" w14:textId="77777777" w:rsidR="00F75183" w:rsidRDefault="00F75183" w:rsidP="003203AA">
      <w:pPr>
        <w:pStyle w:val="StandardWeb"/>
        <w:tabs>
          <w:tab w:val="left" w:pos="8505"/>
        </w:tabs>
        <w:spacing w:before="0" w:after="240" w:line="360" w:lineRule="auto"/>
        <w:ind w:right="1707"/>
        <w:jc w:val="left"/>
        <w:rPr>
          <w:rFonts w:eastAsiaTheme="minorHAnsi" w:cs="Arial"/>
          <w:b/>
          <w:lang w:val="en-GB" w:eastAsia="en-US"/>
        </w:rPr>
      </w:pPr>
    </w:p>
    <w:p w14:paraId="66B63C60" w14:textId="77777777" w:rsidR="00F75183" w:rsidRDefault="003203AA" w:rsidP="003203AA">
      <w:pPr>
        <w:pStyle w:val="StandardWeb"/>
        <w:tabs>
          <w:tab w:val="left" w:pos="8505"/>
        </w:tabs>
        <w:spacing w:before="0" w:after="240" w:line="360" w:lineRule="auto"/>
        <w:ind w:right="1707"/>
        <w:jc w:val="left"/>
        <w:rPr>
          <w:rFonts w:eastAsiaTheme="minorHAnsi" w:cs="Arial"/>
          <w:b/>
          <w:lang w:val="en-GB" w:eastAsia="en-US"/>
        </w:rPr>
      </w:pPr>
      <w:r w:rsidRPr="003203AA">
        <w:rPr>
          <w:rFonts w:eastAsiaTheme="minorHAnsi" w:cs="Arial"/>
          <w:b/>
          <w:lang w:val="en-GB" w:eastAsia="en-US"/>
        </w:rPr>
        <w:lastRenderedPageBreak/>
        <w:t>preeflow micro dispensing devices</w:t>
      </w:r>
    </w:p>
    <w:p w14:paraId="11EEA0A7" w14:textId="78372363" w:rsidR="003203AA" w:rsidRDefault="00F75183" w:rsidP="003203AA">
      <w:pPr>
        <w:pStyle w:val="StandardWeb"/>
        <w:tabs>
          <w:tab w:val="left" w:pos="8505"/>
        </w:tabs>
        <w:spacing w:before="0" w:after="240" w:line="360" w:lineRule="auto"/>
        <w:ind w:right="1707"/>
        <w:jc w:val="left"/>
        <w:rPr>
          <w:rFonts w:cs="Arial"/>
          <w:lang w:val="en-GB"/>
        </w:rPr>
      </w:pPr>
      <w:r>
        <w:rPr>
          <w:noProof/>
        </w:rPr>
        <w:drawing>
          <wp:anchor distT="0" distB="0" distL="114300" distR="114300" simplePos="0" relativeHeight="251662336" behindDoc="1" locked="0" layoutInCell="1" allowOverlap="1" wp14:anchorId="629EDBDC" wp14:editId="1E5F4B94">
            <wp:simplePos x="0" y="0"/>
            <wp:positionH relativeFrom="column">
              <wp:posOffset>5715</wp:posOffset>
            </wp:positionH>
            <wp:positionV relativeFrom="paragraph">
              <wp:posOffset>74220</wp:posOffset>
            </wp:positionV>
            <wp:extent cx="3375025" cy="2259330"/>
            <wp:effectExtent l="0" t="0" r="0" b="7620"/>
            <wp:wrapTight wrapText="bothSides">
              <wp:wrapPolygon edited="0">
                <wp:start x="0" y="0"/>
                <wp:lineTo x="0" y="21491"/>
                <wp:lineTo x="21458" y="21491"/>
                <wp:lineTo x="21458" y="0"/>
                <wp:lineTo x="0" y="0"/>
              </wp:wrapPolygon>
            </wp:wrapTight>
            <wp:docPr id="4" name="Grafik 4"/>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5025" cy="2259330"/>
                    </a:xfrm>
                    <a:prstGeom prst="rect">
                      <a:avLst/>
                    </a:prstGeom>
                    <a:noFill/>
                    <a:ln>
                      <a:noFill/>
                    </a:ln>
                  </pic:spPr>
                </pic:pic>
              </a:graphicData>
            </a:graphic>
          </wp:anchor>
        </w:drawing>
      </w:r>
      <w:r w:rsidR="003203AA" w:rsidRPr="003203AA">
        <w:rPr>
          <w:rFonts w:cs="Arial"/>
          <w:lang w:val="en-GB"/>
        </w:rPr>
        <w:t>preeflow guarantees a d</w:t>
      </w:r>
      <w:r w:rsidR="006E3C3D">
        <w:rPr>
          <w:rFonts w:cs="Arial"/>
          <w:lang w:val="en-GB"/>
        </w:rPr>
        <w:t>ispen</w:t>
      </w:r>
      <w:r w:rsidR="003203AA" w:rsidRPr="003203AA">
        <w:rPr>
          <w:rFonts w:cs="Arial"/>
          <w:lang w:val="en-GB"/>
        </w:rPr>
        <w:t xml:space="preserve">sing accuracy of 99 % (depending on the medium) up to a quantity of 1 µl. </w:t>
      </w:r>
      <w:r w:rsidR="00294FE9">
        <w:rPr>
          <w:rFonts w:cs="Arial"/>
          <w:lang w:val="en-GB"/>
        </w:rPr>
        <w:t>Thanks</w:t>
      </w:r>
      <w:r w:rsidR="003203AA" w:rsidRPr="003203AA">
        <w:rPr>
          <w:rFonts w:cs="Arial"/>
          <w:lang w:val="en-GB"/>
        </w:rPr>
        <w:t xml:space="preserve"> to the compression</w:t>
      </w:r>
      <w:r w:rsidR="00B76AC8">
        <w:rPr>
          <w:rFonts w:cs="Arial"/>
          <w:lang w:val="en-GB"/>
        </w:rPr>
        <w:t>-</w:t>
      </w:r>
      <w:r w:rsidR="003203AA" w:rsidRPr="003203AA">
        <w:rPr>
          <w:rFonts w:cs="Arial"/>
          <w:lang w:val="en-GB"/>
        </w:rPr>
        <w:t xml:space="preserve">less </w:t>
      </w:r>
      <w:r w:rsidR="00294FE9">
        <w:rPr>
          <w:rFonts w:cs="Arial"/>
          <w:lang w:val="en-GB"/>
        </w:rPr>
        <w:t>transferring,</w:t>
      </w:r>
      <w:r w:rsidR="003203AA" w:rsidRPr="003203AA">
        <w:rPr>
          <w:rFonts w:cs="Arial"/>
          <w:lang w:val="en-GB"/>
        </w:rPr>
        <w:t xml:space="preserve"> highly viscous abrasive and shear sensitive materials can </w:t>
      </w:r>
      <w:r w:rsidR="00294FE9">
        <w:rPr>
          <w:rFonts w:cs="Arial"/>
          <w:lang w:val="en-GB"/>
        </w:rPr>
        <w:t xml:space="preserve">also </w:t>
      </w:r>
      <w:r w:rsidR="003203AA" w:rsidRPr="003203AA">
        <w:rPr>
          <w:rFonts w:cs="Arial"/>
          <w:lang w:val="en-GB"/>
        </w:rPr>
        <w:t xml:space="preserve">be applied. </w:t>
      </w:r>
    </w:p>
    <w:p w14:paraId="3E642733" w14:textId="0E1673EF" w:rsidR="00B76AC8" w:rsidRDefault="003203AA" w:rsidP="003203AA">
      <w:pPr>
        <w:pStyle w:val="StandardWeb"/>
        <w:tabs>
          <w:tab w:val="left" w:pos="8505"/>
        </w:tabs>
        <w:spacing w:before="0" w:after="240" w:line="360" w:lineRule="auto"/>
        <w:ind w:right="1707"/>
        <w:jc w:val="left"/>
        <w:rPr>
          <w:rFonts w:cs="Arial"/>
          <w:lang w:val="en-GB"/>
        </w:rPr>
      </w:pPr>
      <w:r w:rsidRPr="003203AA">
        <w:rPr>
          <w:rFonts w:cs="Arial"/>
          <w:lang w:val="en-GB"/>
        </w:rPr>
        <w:t>The pump technology of the endless piston principle has additional advantages over other d</w:t>
      </w:r>
      <w:r>
        <w:rPr>
          <w:rFonts w:cs="Arial"/>
          <w:lang w:val="en-GB"/>
        </w:rPr>
        <w:t>ispen</w:t>
      </w:r>
      <w:r w:rsidRPr="003203AA">
        <w:rPr>
          <w:rFonts w:cs="Arial"/>
          <w:lang w:val="en-GB"/>
        </w:rPr>
        <w:t>sing mechanisms. Filling and d</w:t>
      </w:r>
      <w:r>
        <w:rPr>
          <w:rFonts w:cs="Arial"/>
          <w:lang w:val="en-GB"/>
        </w:rPr>
        <w:t>ispen</w:t>
      </w:r>
      <w:r w:rsidRPr="003203AA">
        <w:rPr>
          <w:rFonts w:cs="Arial"/>
          <w:lang w:val="en-GB"/>
        </w:rPr>
        <w:t>sing valves can be dispensed with in over 95</w:t>
      </w:r>
      <w:r w:rsidR="007A104A">
        <w:rPr>
          <w:rFonts w:cs="Arial"/>
          <w:lang w:val="en-GB"/>
        </w:rPr>
        <w:t xml:space="preserve"> </w:t>
      </w:r>
      <w:r w:rsidRPr="003203AA">
        <w:rPr>
          <w:rFonts w:cs="Arial"/>
          <w:lang w:val="en-GB"/>
        </w:rPr>
        <w:t>% of all applications. A retraction (reversal of the direction of rotation of the dispenser) results in a controlled thread break</w:t>
      </w:r>
      <w:r w:rsidR="00294FE9">
        <w:rPr>
          <w:rFonts w:cs="Arial"/>
          <w:lang w:val="en-GB"/>
        </w:rPr>
        <w:t>age</w:t>
      </w:r>
      <w:r w:rsidRPr="003203AA">
        <w:rPr>
          <w:rFonts w:cs="Arial"/>
          <w:lang w:val="en-GB"/>
        </w:rPr>
        <w:t xml:space="preserve"> and dripping is prevented. Thread pulling gels, resins or adhesives can th</w:t>
      </w:r>
      <w:r w:rsidR="00294FE9">
        <w:rPr>
          <w:rFonts w:cs="Arial"/>
          <w:lang w:val="en-GB"/>
        </w:rPr>
        <w:t>erefore</w:t>
      </w:r>
      <w:r w:rsidRPr="003203AA">
        <w:rPr>
          <w:rFonts w:cs="Arial"/>
          <w:lang w:val="en-GB"/>
        </w:rPr>
        <w:t xml:space="preserve"> be d</w:t>
      </w:r>
      <w:r w:rsidR="00294FE9">
        <w:rPr>
          <w:rFonts w:cs="Arial"/>
          <w:lang w:val="en-GB"/>
        </w:rPr>
        <w:t>i</w:t>
      </w:r>
      <w:r w:rsidRPr="003203AA">
        <w:rPr>
          <w:rFonts w:cs="Arial"/>
          <w:lang w:val="en-GB"/>
        </w:rPr>
        <w:t>s</w:t>
      </w:r>
      <w:r w:rsidR="00294FE9">
        <w:rPr>
          <w:rFonts w:cs="Arial"/>
          <w:lang w:val="en-GB"/>
        </w:rPr>
        <w:t>pens</w:t>
      </w:r>
      <w:r w:rsidRPr="003203AA">
        <w:rPr>
          <w:rFonts w:cs="Arial"/>
          <w:lang w:val="en-GB"/>
        </w:rPr>
        <w:t xml:space="preserve">ed more precisely. </w:t>
      </w:r>
    </w:p>
    <w:p w14:paraId="3F9E6AFC" w14:textId="459DF369" w:rsidR="009C1FEC" w:rsidRPr="00B76AC8" w:rsidRDefault="00B76AC8" w:rsidP="00B76AC8">
      <w:pPr>
        <w:pStyle w:val="StandardWeb"/>
        <w:tabs>
          <w:tab w:val="left" w:pos="8505"/>
        </w:tabs>
        <w:spacing w:before="0" w:after="240" w:line="360" w:lineRule="auto"/>
        <w:ind w:right="1707"/>
        <w:jc w:val="left"/>
        <w:rPr>
          <w:rFonts w:cs="Arial"/>
          <w:lang w:val="en-GB"/>
        </w:rPr>
      </w:pPr>
      <w:r>
        <w:rPr>
          <w:rFonts w:cs="Arial"/>
          <w:lang w:val="en-GB"/>
        </w:rPr>
        <w:t>For the exact dispensing of abrasive materials, ViscoTec has developed a new stator for the preeflow micro-dispenser eco-PEN330. The main change is a new stator material, which resists the high mechanical loads of highly filled materials even better. The user benefits from even greater process reliability and longer maintenance cycles.</w:t>
      </w:r>
    </w:p>
    <w:p w14:paraId="2547067A" w14:textId="48E33CDD" w:rsidR="007A104A" w:rsidRDefault="007A104A" w:rsidP="00264DB7">
      <w:pPr>
        <w:rPr>
          <w:b/>
          <w:lang w:val="en-GB"/>
        </w:rPr>
      </w:pPr>
    </w:p>
    <w:p w14:paraId="50A2CACB" w14:textId="104AA5CA" w:rsidR="00F75183" w:rsidRDefault="00F75183" w:rsidP="00264DB7">
      <w:pPr>
        <w:rPr>
          <w:b/>
          <w:lang w:val="en-GB"/>
        </w:rPr>
      </w:pPr>
    </w:p>
    <w:p w14:paraId="1AC6FA45" w14:textId="5E7BF245" w:rsidR="00F75183" w:rsidRDefault="00F75183" w:rsidP="00264DB7">
      <w:pPr>
        <w:rPr>
          <w:b/>
          <w:lang w:val="en-GB"/>
        </w:rPr>
      </w:pPr>
    </w:p>
    <w:p w14:paraId="540A2CAA" w14:textId="2560494E" w:rsidR="00F75183" w:rsidRDefault="00F75183" w:rsidP="00264DB7">
      <w:pPr>
        <w:rPr>
          <w:b/>
          <w:lang w:val="en-GB"/>
        </w:rPr>
      </w:pPr>
    </w:p>
    <w:p w14:paraId="79E8FD1D" w14:textId="7A43422F" w:rsidR="00F75183" w:rsidRDefault="00F75183" w:rsidP="00264DB7">
      <w:pPr>
        <w:rPr>
          <w:b/>
          <w:lang w:val="en-GB"/>
        </w:rPr>
      </w:pPr>
    </w:p>
    <w:p w14:paraId="014F00A3" w14:textId="4ED80E8F" w:rsidR="00F75183" w:rsidRDefault="00F75183" w:rsidP="00264DB7">
      <w:pPr>
        <w:rPr>
          <w:b/>
          <w:lang w:val="en-GB"/>
        </w:rPr>
      </w:pPr>
    </w:p>
    <w:p w14:paraId="51B35745" w14:textId="77777777" w:rsidR="00F75183" w:rsidRPr="006F3066" w:rsidRDefault="00F75183" w:rsidP="00264DB7">
      <w:pPr>
        <w:rPr>
          <w:b/>
          <w:lang w:val="en-GB"/>
        </w:rPr>
      </w:pPr>
    </w:p>
    <w:p w14:paraId="278602F9" w14:textId="1C41D9A3" w:rsidR="00264DB7" w:rsidRPr="00CA447C" w:rsidRDefault="00264DB7" w:rsidP="00264DB7">
      <w:pPr>
        <w:rPr>
          <w:b/>
        </w:rPr>
      </w:pPr>
      <w:proofErr w:type="spellStart"/>
      <w:r w:rsidRPr="00CA447C">
        <w:rPr>
          <w:b/>
        </w:rPr>
        <w:lastRenderedPageBreak/>
        <w:t>Aut</w:t>
      </w:r>
      <w:r w:rsidR="006E3C3D">
        <w:rPr>
          <w:b/>
        </w:rPr>
        <w:t>h</w:t>
      </w:r>
      <w:r w:rsidRPr="00CA447C">
        <w:rPr>
          <w:b/>
        </w:rPr>
        <w:t>or</w:t>
      </w:r>
      <w:proofErr w:type="spellEnd"/>
      <w:r w:rsidRPr="00CA447C">
        <w:rPr>
          <w:b/>
        </w:rPr>
        <w:t>:</w:t>
      </w:r>
    </w:p>
    <w:p w14:paraId="5B2CC7F9" w14:textId="77777777" w:rsidR="00264DB7" w:rsidRDefault="00264DB7" w:rsidP="00264DB7">
      <w:pPr>
        <w:rPr>
          <w:lang w:val="en-GB"/>
        </w:rPr>
      </w:pPr>
      <w:r>
        <w:rPr>
          <w:noProof/>
          <w:lang w:val="en-GB"/>
        </w:rPr>
        <w:drawing>
          <wp:inline distT="0" distB="0" distL="0" distR="0" wp14:anchorId="0D5B8DE1" wp14:editId="6B9D7F1B">
            <wp:extent cx="1714500" cy="1714500"/>
            <wp:effectExtent l="19050" t="19050" r="19050" b="190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effen-garbe-foto.1024x102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4699" cy="1714699"/>
                    </a:xfrm>
                    <a:prstGeom prst="rect">
                      <a:avLst/>
                    </a:prstGeom>
                    <a:noFill/>
                    <a:ln>
                      <a:solidFill>
                        <a:schemeClr val="accent1"/>
                      </a:solidFill>
                    </a:ln>
                  </pic:spPr>
                </pic:pic>
              </a:graphicData>
            </a:graphic>
          </wp:inline>
        </w:drawing>
      </w:r>
    </w:p>
    <w:p w14:paraId="60007A2A" w14:textId="5F77A27B" w:rsidR="00264DB7" w:rsidRDefault="00264DB7" w:rsidP="00264DB7">
      <w:pPr>
        <w:pStyle w:val="Bildunterschrift"/>
        <w:rPr>
          <w:sz w:val="22"/>
          <w:szCs w:val="22"/>
        </w:rPr>
      </w:pPr>
      <w:r w:rsidRPr="00CA447C">
        <w:rPr>
          <w:b/>
          <w:sz w:val="22"/>
          <w:szCs w:val="22"/>
        </w:rPr>
        <w:t>Steffen Garbe</w:t>
      </w:r>
      <w:r w:rsidRPr="00CA447C">
        <w:rPr>
          <w:sz w:val="22"/>
          <w:szCs w:val="22"/>
        </w:rPr>
        <w:t xml:space="preserve">, </w:t>
      </w:r>
      <w:r w:rsidRPr="00CA447C">
        <w:rPr>
          <w:sz w:val="22"/>
          <w:szCs w:val="22"/>
          <w:lang w:eastAsia="en-US"/>
        </w:rPr>
        <w:t>Business Development</w:t>
      </w:r>
      <w:r w:rsidRPr="00CA447C">
        <w:rPr>
          <w:sz w:val="22"/>
          <w:szCs w:val="22"/>
        </w:rPr>
        <w:t xml:space="preserve">; </w:t>
      </w:r>
      <w:hyperlink r:id="rId12" w:history="1">
        <w:r w:rsidR="009C1FEC" w:rsidRPr="00785A8B">
          <w:rPr>
            <w:rStyle w:val="Hyperlink"/>
            <w:sz w:val="22"/>
            <w:szCs w:val="22"/>
          </w:rPr>
          <w:t>steffen.garbe@viscotec.de</w:t>
        </w:r>
      </w:hyperlink>
    </w:p>
    <w:p w14:paraId="5B672233" w14:textId="77777777" w:rsidR="00F75183" w:rsidRDefault="00F75183" w:rsidP="00D84942">
      <w:pPr>
        <w:rPr>
          <w:b/>
          <w:lang w:val="en-US"/>
        </w:rPr>
      </w:pPr>
    </w:p>
    <w:p w14:paraId="44B2E488" w14:textId="77777777" w:rsidR="00F75183" w:rsidRDefault="00F75183" w:rsidP="00D84942">
      <w:pPr>
        <w:rPr>
          <w:b/>
          <w:lang w:val="en-US"/>
        </w:rPr>
      </w:pPr>
    </w:p>
    <w:p w14:paraId="155F8E37" w14:textId="1E97E82E" w:rsidR="00D84942" w:rsidRPr="003F5678" w:rsidRDefault="00D84942" w:rsidP="00D84942">
      <w:pPr>
        <w:rPr>
          <w:b/>
          <w:lang w:val="en-US"/>
        </w:rPr>
      </w:pPr>
      <w:bookmarkStart w:id="0" w:name="_GoBack"/>
      <w:bookmarkEnd w:id="0"/>
      <w:r w:rsidRPr="003F5678">
        <w:rPr>
          <w:b/>
          <w:lang w:val="en-US"/>
        </w:rPr>
        <w:t>Micro</w:t>
      </w:r>
      <w:r w:rsidR="007A104A">
        <w:rPr>
          <w:b/>
          <w:lang w:val="en-US"/>
        </w:rPr>
        <w:t>dispensing</w:t>
      </w:r>
      <w:r w:rsidRPr="003F5678">
        <w:rPr>
          <w:b/>
          <w:lang w:val="en-US"/>
        </w:rPr>
        <w:t xml:space="preserve"> to perfection!</w:t>
      </w:r>
    </w:p>
    <w:p w14:paraId="1962D317" w14:textId="77777777" w:rsidR="00B34BD5" w:rsidRPr="00B34BD5" w:rsidRDefault="00B34BD5" w:rsidP="00B34BD5">
      <w:pPr>
        <w:rPr>
          <w:lang w:val="en-GB"/>
        </w:rPr>
      </w:pPr>
      <w:r w:rsidRPr="00B34BD5">
        <w:rPr>
          <w:lang w:val="en-GB"/>
        </w:rPr>
        <w:t xml:space="preserve">preeflow® is a brand name powered by ViscoTec </w:t>
      </w:r>
      <w:proofErr w:type="spellStart"/>
      <w:r w:rsidRPr="00B34BD5">
        <w:rPr>
          <w:lang w:val="en-GB"/>
        </w:rPr>
        <w:t>Pumpen</w:t>
      </w:r>
      <w:proofErr w:type="spellEnd"/>
      <w:r w:rsidRPr="00B34BD5">
        <w:rPr>
          <w:lang w:val="en-GB"/>
        </w:rPr>
        <w:t xml:space="preserve">- u. </w:t>
      </w:r>
      <w:proofErr w:type="spellStart"/>
      <w:r w:rsidRPr="00B34BD5">
        <w:rPr>
          <w:lang w:val="en-GB"/>
        </w:rPr>
        <w:t>Dosiertechnik</w:t>
      </w:r>
      <w:proofErr w:type="spellEnd"/>
      <w:r w:rsidRPr="00B34BD5">
        <w:rPr>
          <w:lang w:val="en-GB"/>
        </w:rPr>
        <w:t xml:space="preserve"> GmbH. ViscoTec primarily deals in systems required for conveying, dosing, applying, filling and emptying medium to high-viscosity fluids. The headquarters of the technological market leader is in Töging (upper Bavaria, near Munich). In addition, ViscoTec has subsidiaries in the USA, in China, Singapore and in India and employs about 200 people worldwide. Established in 2008, preeflow® ensures precise, purely volumetric dispensing of liquids in the smallest of quantities. preeflow® products are appreciated worldwide, not to mention because of their unique quality - Made in Germany. An international distribution network offers professional service and support in all areas of preeflow® dosing systems. The various fields of application include, among others, automotive, electrical and electronics industry, medical technology, aerospace, renewable energies, electrical and hybrid technology and measurement and sensor technology. The complete preeflow® portfolio can be easily integrated due to standardized interfaces. Worldwide more than 20,000 preeflow® systems are working in semi- or fully-automated dosing applications - to the user’s and customer's complete satisfaction.</w:t>
      </w:r>
    </w:p>
    <w:p w14:paraId="417274F5" w14:textId="77777777" w:rsidR="00BD097C" w:rsidRPr="00B34BD5" w:rsidRDefault="00BD097C" w:rsidP="00A1611B">
      <w:pPr>
        <w:rPr>
          <w:lang w:val="en-GB"/>
        </w:rPr>
      </w:pPr>
    </w:p>
    <w:p w14:paraId="5EFDAF12" w14:textId="77777777" w:rsidR="00BD097C" w:rsidRPr="00D84942" w:rsidRDefault="00BD097C" w:rsidP="00A1611B">
      <w:pPr>
        <w:rPr>
          <w:lang w:val="en-GB"/>
        </w:rPr>
      </w:pPr>
    </w:p>
    <w:p w14:paraId="42A2CD9A" w14:textId="77777777" w:rsidR="006E3C3D" w:rsidRPr="00C06F46" w:rsidRDefault="006E3C3D" w:rsidP="006E3C3D">
      <w:pPr>
        <w:pStyle w:val="Untertitel"/>
        <w:rPr>
          <w:lang w:val="en-GB"/>
        </w:rPr>
      </w:pPr>
      <w:r w:rsidRPr="00C06F46">
        <w:rPr>
          <w:lang w:val="en-GB"/>
        </w:rPr>
        <w:t>Press contact:</w:t>
      </w:r>
    </w:p>
    <w:p w14:paraId="7AB66E20" w14:textId="77777777" w:rsidR="006E3C3D" w:rsidRPr="00C06F46" w:rsidRDefault="006E3C3D" w:rsidP="006E3C3D">
      <w:pPr>
        <w:spacing w:after="0"/>
        <w:rPr>
          <w:lang w:val="en-GB"/>
        </w:rPr>
      </w:pPr>
      <w:r w:rsidRPr="00C06F46">
        <w:rPr>
          <w:lang w:val="en-GB"/>
        </w:rPr>
        <w:t>Thomas Diringer, Manager Business Unit Components &amp; Devices</w:t>
      </w:r>
    </w:p>
    <w:p w14:paraId="43ABB204" w14:textId="77777777" w:rsidR="006E3C3D" w:rsidRDefault="006E3C3D" w:rsidP="006E3C3D">
      <w:pPr>
        <w:spacing w:after="0"/>
      </w:pPr>
      <w:r w:rsidRPr="00BD097C">
        <w:t>ViscoTec Pumpen- u. Dosiertechnik GmbH</w:t>
      </w:r>
    </w:p>
    <w:p w14:paraId="2CD92EFA" w14:textId="77777777" w:rsidR="006E3C3D" w:rsidRPr="00BD097C" w:rsidRDefault="006E3C3D" w:rsidP="006E3C3D">
      <w:pPr>
        <w:spacing w:after="0"/>
      </w:pPr>
      <w:r w:rsidRPr="00BD097C">
        <w:t>Amperstraße 13</w:t>
      </w:r>
      <w:r>
        <w:t xml:space="preserve">, </w:t>
      </w:r>
      <w:r w:rsidRPr="00BD097C">
        <w:t>D-84513 Töging a. Inn</w:t>
      </w:r>
    </w:p>
    <w:p w14:paraId="22EBF966" w14:textId="77777777" w:rsidR="006E3C3D" w:rsidRPr="00BD097C" w:rsidRDefault="006E3C3D" w:rsidP="006E3C3D">
      <w:pPr>
        <w:spacing w:after="0"/>
      </w:pPr>
      <w:r w:rsidRPr="00BD097C">
        <w:t>Tel</w:t>
      </w:r>
      <w:r>
        <w:t>:</w:t>
      </w:r>
      <w:r w:rsidRPr="00BD097C">
        <w:t xml:space="preserve"> +49 8631 9274-44</w:t>
      </w:r>
      <w:r>
        <w:t>1</w:t>
      </w:r>
      <w:r w:rsidRPr="00BD097C">
        <w:t xml:space="preserve"> </w:t>
      </w:r>
    </w:p>
    <w:p w14:paraId="51CB89F5" w14:textId="77777777" w:rsidR="006E3C3D" w:rsidRPr="00BD097C" w:rsidRDefault="006E3C3D" w:rsidP="006E3C3D">
      <w:pPr>
        <w:spacing w:after="0"/>
      </w:pPr>
      <w:r w:rsidRPr="00BD097C">
        <w:t xml:space="preserve">E-Mail: </w:t>
      </w:r>
      <w:r>
        <w:t>thomas.diringer</w:t>
      </w:r>
      <w:r w:rsidRPr="00BD097C">
        <w:t>@viscotec.de · www.</w:t>
      </w:r>
      <w:r>
        <w:t>preeflow</w:t>
      </w:r>
      <w:r w:rsidRPr="00BD097C">
        <w:t>.</w:t>
      </w:r>
      <w:r>
        <w:t>com</w:t>
      </w:r>
    </w:p>
    <w:p w14:paraId="087855EC" w14:textId="77777777" w:rsidR="006E3C3D" w:rsidRPr="00BD097C" w:rsidRDefault="006E3C3D" w:rsidP="006E3C3D">
      <w:pPr>
        <w:spacing w:after="0"/>
      </w:pPr>
    </w:p>
    <w:p w14:paraId="0B84F104" w14:textId="77777777" w:rsidR="006E3C3D" w:rsidRPr="0079149C" w:rsidRDefault="006E3C3D" w:rsidP="006E3C3D">
      <w:pPr>
        <w:spacing w:after="0"/>
      </w:pPr>
      <w:r w:rsidRPr="0079149C">
        <w:t xml:space="preserve">Elisabeth </w:t>
      </w:r>
      <w:r>
        <w:t>Naderer</w:t>
      </w:r>
      <w:r w:rsidRPr="0079149C">
        <w:t xml:space="preserve">, </w:t>
      </w:r>
      <w:r>
        <w:t>Marketing Manager</w:t>
      </w:r>
    </w:p>
    <w:p w14:paraId="061ED55D" w14:textId="77777777" w:rsidR="006E3C3D" w:rsidRPr="00BD097C" w:rsidRDefault="006E3C3D" w:rsidP="006E3C3D">
      <w:pPr>
        <w:spacing w:after="0"/>
      </w:pPr>
      <w:r w:rsidRPr="00BD097C">
        <w:t>ViscoTec Pumpen- u. Dosiertechnik GmbH</w:t>
      </w:r>
    </w:p>
    <w:p w14:paraId="67EBF905" w14:textId="77777777" w:rsidR="006E3C3D" w:rsidRPr="00BD097C" w:rsidRDefault="006E3C3D" w:rsidP="006E3C3D">
      <w:pPr>
        <w:spacing w:after="0"/>
      </w:pPr>
      <w:r w:rsidRPr="00BD097C">
        <w:t>Amperstraße 13</w:t>
      </w:r>
      <w:r>
        <w:t xml:space="preserve">, </w:t>
      </w:r>
      <w:r w:rsidRPr="00BD097C">
        <w:t>D-84513 Töging a. Inn</w:t>
      </w:r>
    </w:p>
    <w:p w14:paraId="62BD2369" w14:textId="77777777" w:rsidR="006E3C3D" w:rsidRPr="00BD097C" w:rsidRDefault="006E3C3D" w:rsidP="006E3C3D">
      <w:pPr>
        <w:spacing w:after="0"/>
      </w:pPr>
      <w:r w:rsidRPr="00BD097C">
        <w:t>Tel</w:t>
      </w:r>
      <w:r>
        <w:t>:</w:t>
      </w:r>
      <w:r w:rsidRPr="00BD097C">
        <w:t xml:space="preserve"> +49 8631 9274-447 </w:t>
      </w:r>
    </w:p>
    <w:p w14:paraId="0D0450E2" w14:textId="77777777" w:rsidR="006E3C3D" w:rsidRPr="00BD097C" w:rsidRDefault="006E3C3D" w:rsidP="006E3C3D">
      <w:pPr>
        <w:spacing w:after="0"/>
      </w:pPr>
      <w:r w:rsidRPr="00BD097C">
        <w:t>E-Mail: elisabeth.</w:t>
      </w:r>
      <w:r>
        <w:t>naderer</w:t>
      </w:r>
      <w:r w:rsidRPr="00BD097C">
        <w:t>@viscotec.de · www.viscotec.de</w:t>
      </w:r>
    </w:p>
    <w:p w14:paraId="4B95DEDC" w14:textId="77777777" w:rsidR="0050565F" w:rsidRPr="00BD097C" w:rsidRDefault="0050565F" w:rsidP="00A1611B"/>
    <w:p w14:paraId="4F93791C" w14:textId="77777777" w:rsidR="00207D48" w:rsidRPr="00BD097C" w:rsidRDefault="00207D48" w:rsidP="00A1611B"/>
    <w:p w14:paraId="679A032F" w14:textId="77777777" w:rsidR="00207D48" w:rsidRDefault="00207D48" w:rsidP="00A1611B"/>
    <w:sectPr w:rsidR="00207D48"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6D423" w14:textId="77777777" w:rsidR="00FB25E3" w:rsidRDefault="00FB25E3" w:rsidP="00A1611B">
      <w:r>
        <w:separator/>
      </w:r>
    </w:p>
  </w:endnote>
  <w:endnote w:type="continuationSeparator" w:id="0">
    <w:p w14:paraId="2CD700DD" w14:textId="77777777" w:rsidR="00FB25E3" w:rsidRDefault="00FB25E3"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14AB" w14:textId="77777777" w:rsidR="00A1611B" w:rsidRPr="00A1611B" w:rsidRDefault="00A1611B" w:rsidP="00A1611B">
    <w:pPr>
      <w:spacing w:after="0" w:line="240" w:lineRule="auto"/>
      <w:rPr>
        <w:noProof/>
        <w:sz w:val="14"/>
        <w:szCs w:val="14"/>
      </w:rPr>
    </w:pPr>
  </w:p>
  <w:p w14:paraId="2614C1C9"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0D06DBF1" wp14:editId="5B306D4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5C600"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55AF173" w14:textId="77777777" w:rsidR="00A1611B" w:rsidRPr="00A1611B" w:rsidRDefault="00A1611B" w:rsidP="00A1611B">
    <w:pPr>
      <w:spacing w:after="0" w:line="240" w:lineRule="auto"/>
      <w:rPr>
        <w:noProof/>
        <w:sz w:val="14"/>
        <w:szCs w:val="14"/>
      </w:rPr>
    </w:pPr>
  </w:p>
  <w:p w14:paraId="0CED6973"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0AF31BC0" w14:textId="77777777" w:rsidR="00A1611B" w:rsidRPr="00A1611B" w:rsidRDefault="00A1611B" w:rsidP="00A1611B">
    <w:pPr>
      <w:pStyle w:val="Fusszeile"/>
    </w:pPr>
  </w:p>
  <w:p w14:paraId="2B7C465B"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9A3CDF9"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F5835" w14:textId="77777777" w:rsidR="00FB25E3" w:rsidRDefault="00FB25E3" w:rsidP="00A1611B">
      <w:r>
        <w:separator/>
      </w:r>
    </w:p>
  </w:footnote>
  <w:footnote w:type="continuationSeparator" w:id="0">
    <w:p w14:paraId="4E12E2F5" w14:textId="77777777" w:rsidR="00FB25E3" w:rsidRDefault="00FB25E3"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ED6"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06593E7" wp14:editId="23E7C1E9">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2D3758B5" w14:textId="77777777" w:rsidR="006B78C4" w:rsidRDefault="006B78C4" w:rsidP="00A1611B">
    <w:pPr>
      <w:pStyle w:val="Kopfzeile"/>
    </w:pPr>
  </w:p>
  <w:p w14:paraId="3F52DDBD" w14:textId="77777777" w:rsidR="006B78C4" w:rsidRDefault="006B78C4" w:rsidP="00A1611B">
    <w:pPr>
      <w:pStyle w:val="Kopfzeile"/>
    </w:pPr>
  </w:p>
  <w:p w14:paraId="69116829" w14:textId="77777777" w:rsidR="006B78C4" w:rsidRDefault="006B78C4" w:rsidP="00A1611B">
    <w:pPr>
      <w:pStyle w:val="Kopfzeile"/>
    </w:pPr>
  </w:p>
  <w:p w14:paraId="5BD5D831" w14:textId="77777777" w:rsidR="006B78C4" w:rsidRDefault="006B78C4" w:rsidP="00A1611B">
    <w:pPr>
      <w:pStyle w:val="Kopfzeile"/>
    </w:pPr>
  </w:p>
  <w:p w14:paraId="35D3ADD6" w14:textId="77777777" w:rsidR="006B78C4" w:rsidRPr="00BD6574" w:rsidRDefault="00BD7356" w:rsidP="00A1611B">
    <w:pPr>
      <w:pStyle w:val="KopfzeileHeadline"/>
    </w:pPr>
    <w:r>
      <w:t>WHITEPAPER</w:t>
    </w:r>
  </w:p>
  <w:p w14:paraId="14C0C303" w14:textId="77777777" w:rsidR="006B78C4" w:rsidRDefault="006B78C4" w:rsidP="00A1611B">
    <w:pPr>
      <w:pStyle w:val="Kopfzeile"/>
    </w:pPr>
  </w:p>
  <w:p w14:paraId="4205FC84" w14:textId="77777777" w:rsidR="006B78C4" w:rsidRDefault="006B78C4" w:rsidP="00A1611B">
    <w:pPr>
      <w:pStyle w:val="Kopfzeile"/>
    </w:pPr>
  </w:p>
  <w:p w14:paraId="7AB53728"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3C"/>
    <w:rsid w:val="00051241"/>
    <w:rsid w:val="0007129F"/>
    <w:rsid w:val="000B283B"/>
    <w:rsid w:val="000B44E6"/>
    <w:rsid w:val="000D7869"/>
    <w:rsid w:val="000F3990"/>
    <w:rsid w:val="00100CE6"/>
    <w:rsid w:val="00165813"/>
    <w:rsid w:val="0016779F"/>
    <w:rsid w:val="0019178B"/>
    <w:rsid w:val="001F2A1D"/>
    <w:rsid w:val="00207D48"/>
    <w:rsid w:val="00213097"/>
    <w:rsid w:val="00213CF2"/>
    <w:rsid w:val="00214BE3"/>
    <w:rsid w:val="00216DE4"/>
    <w:rsid w:val="00264DB7"/>
    <w:rsid w:val="00272C75"/>
    <w:rsid w:val="00294FE9"/>
    <w:rsid w:val="002B4444"/>
    <w:rsid w:val="002C1B58"/>
    <w:rsid w:val="00304C95"/>
    <w:rsid w:val="003203AA"/>
    <w:rsid w:val="00346F0D"/>
    <w:rsid w:val="00384306"/>
    <w:rsid w:val="003857C3"/>
    <w:rsid w:val="003A0202"/>
    <w:rsid w:val="003A23BF"/>
    <w:rsid w:val="003B2004"/>
    <w:rsid w:val="003D7463"/>
    <w:rsid w:val="00440F2B"/>
    <w:rsid w:val="004779ED"/>
    <w:rsid w:val="004F0705"/>
    <w:rsid w:val="00502B11"/>
    <w:rsid w:val="0050565F"/>
    <w:rsid w:val="00592CA1"/>
    <w:rsid w:val="00610C87"/>
    <w:rsid w:val="006B6C5E"/>
    <w:rsid w:val="006B78C4"/>
    <w:rsid w:val="006C6AE2"/>
    <w:rsid w:val="006E2BC6"/>
    <w:rsid w:val="006E3C3D"/>
    <w:rsid w:val="006F3066"/>
    <w:rsid w:val="00756476"/>
    <w:rsid w:val="00782414"/>
    <w:rsid w:val="0079149C"/>
    <w:rsid w:val="00791C50"/>
    <w:rsid w:val="007A104A"/>
    <w:rsid w:val="007B55C4"/>
    <w:rsid w:val="007C6E88"/>
    <w:rsid w:val="007E6CA0"/>
    <w:rsid w:val="00833C02"/>
    <w:rsid w:val="00872CA7"/>
    <w:rsid w:val="0087508C"/>
    <w:rsid w:val="008B0A02"/>
    <w:rsid w:val="008F388C"/>
    <w:rsid w:val="00974CD8"/>
    <w:rsid w:val="00982B0B"/>
    <w:rsid w:val="00992BE1"/>
    <w:rsid w:val="009A6CE5"/>
    <w:rsid w:val="009C1FEC"/>
    <w:rsid w:val="009D0A72"/>
    <w:rsid w:val="00A02963"/>
    <w:rsid w:val="00A1611B"/>
    <w:rsid w:val="00A23D8E"/>
    <w:rsid w:val="00A4659D"/>
    <w:rsid w:val="00AC080F"/>
    <w:rsid w:val="00AC5CC6"/>
    <w:rsid w:val="00B34BD5"/>
    <w:rsid w:val="00B5126A"/>
    <w:rsid w:val="00B60D2C"/>
    <w:rsid w:val="00B76AC8"/>
    <w:rsid w:val="00BD097C"/>
    <w:rsid w:val="00BD6574"/>
    <w:rsid w:val="00BD7356"/>
    <w:rsid w:val="00BE5D7F"/>
    <w:rsid w:val="00C135DE"/>
    <w:rsid w:val="00C5081B"/>
    <w:rsid w:val="00C82731"/>
    <w:rsid w:val="00C83E1A"/>
    <w:rsid w:val="00C93794"/>
    <w:rsid w:val="00CD306B"/>
    <w:rsid w:val="00CF08AA"/>
    <w:rsid w:val="00D130D4"/>
    <w:rsid w:val="00D505E0"/>
    <w:rsid w:val="00D520FF"/>
    <w:rsid w:val="00D56D5D"/>
    <w:rsid w:val="00D844A5"/>
    <w:rsid w:val="00D84942"/>
    <w:rsid w:val="00D87711"/>
    <w:rsid w:val="00DD493C"/>
    <w:rsid w:val="00DF5BFB"/>
    <w:rsid w:val="00DF6847"/>
    <w:rsid w:val="00EB69BA"/>
    <w:rsid w:val="00ED3E57"/>
    <w:rsid w:val="00EF7AD4"/>
    <w:rsid w:val="00F131E0"/>
    <w:rsid w:val="00F6786C"/>
    <w:rsid w:val="00F75183"/>
    <w:rsid w:val="00FA58E4"/>
    <w:rsid w:val="00FB25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102D77"/>
  <w15:docId w15:val="{F799AD68-C33A-4FAD-B619-01C0DF37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Titel">
    <w:name w:val="Title"/>
    <w:aliases w:val="Verzeichnis_Topic"/>
    <w:basedOn w:val="Standard"/>
    <w:link w:val="TitelZchn"/>
    <w:uiPriority w:val="10"/>
    <w:qFormat/>
    <w:rsid w:val="00DD493C"/>
    <w:pPr>
      <w:spacing w:before="240" w:after="480" w:line="264" w:lineRule="auto"/>
      <w:jc w:val="left"/>
    </w:pPr>
    <w:rPr>
      <w:rFonts w:eastAsia="Times New Roman" w:cs="Times New Roman"/>
      <w:b/>
      <w:sz w:val="32"/>
      <w:lang w:eastAsia="de-DE"/>
    </w:rPr>
  </w:style>
  <w:style w:type="character" w:customStyle="1" w:styleId="TitelZchn">
    <w:name w:val="Titel Zchn"/>
    <w:aliases w:val="Verzeichnis_Topic Zchn"/>
    <w:basedOn w:val="Absatz-Standardschriftart"/>
    <w:link w:val="Titel"/>
    <w:uiPriority w:val="10"/>
    <w:rsid w:val="00DD493C"/>
    <w:rPr>
      <w:rFonts w:ascii="Arial" w:eastAsia="Times New Roman" w:hAnsi="Arial" w:cs="Times New Roman"/>
      <w:b/>
      <w:sz w:val="32"/>
      <w:lang w:eastAsia="de-DE"/>
    </w:rPr>
  </w:style>
  <w:style w:type="character" w:styleId="Kommentarzeichen">
    <w:name w:val="annotation reference"/>
    <w:basedOn w:val="Absatz-Standardschriftart"/>
    <w:uiPriority w:val="99"/>
    <w:semiHidden/>
    <w:unhideWhenUsed/>
    <w:rsid w:val="007B55C4"/>
    <w:rPr>
      <w:sz w:val="16"/>
      <w:szCs w:val="16"/>
    </w:rPr>
  </w:style>
  <w:style w:type="paragraph" w:styleId="Kommentartext">
    <w:name w:val="annotation text"/>
    <w:basedOn w:val="Standard"/>
    <w:link w:val="KommentartextZchn"/>
    <w:uiPriority w:val="99"/>
    <w:semiHidden/>
    <w:unhideWhenUsed/>
    <w:rsid w:val="007B55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55C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B55C4"/>
    <w:rPr>
      <w:b/>
      <w:bCs/>
    </w:rPr>
  </w:style>
  <w:style w:type="character" w:customStyle="1" w:styleId="KommentarthemaZchn">
    <w:name w:val="Kommentarthema Zchn"/>
    <w:basedOn w:val="KommentartextZchn"/>
    <w:link w:val="Kommentarthema"/>
    <w:uiPriority w:val="99"/>
    <w:semiHidden/>
    <w:rsid w:val="007B55C4"/>
    <w:rPr>
      <w:rFonts w:ascii="Arial" w:hAnsi="Arial" w:cs="Arial"/>
      <w:b/>
      <w:bCs/>
      <w:sz w:val="20"/>
      <w:szCs w:val="20"/>
    </w:rPr>
  </w:style>
  <w:style w:type="character" w:styleId="NichtaufgelsteErwhnung">
    <w:name w:val="Unresolved Mention"/>
    <w:basedOn w:val="Absatz-Standardschriftart"/>
    <w:uiPriority w:val="99"/>
    <w:semiHidden/>
    <w:unhideWhenUsed/>
    <w:rsid w:val="009C1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teffen.garbe@viscotec.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58683-4C5D-4602-8348-E953B9F7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1056</Words>
  <Characters>6655</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Demmelhuber, Sandra</dc:creator>
  <cp:lastModifiedBy>Hintereder, Melanie</cp:lastModifiedBy>
  <cp:revision>10</cp:revision>
  <cp:lastPrinted>2018-12-18T11:47:00Z</cp:lastPrinted>
  <dcterms:created xsi:type="dcterms:W3CDTF">2019-01-09T15:59:00Z</dcterms:created>
  <dcterms:modified xsi:type="dcterms:W3CDTF">2019-01-14T08:34:00Z</dcterms:modified>
</cp:coreProperties>
</file>