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1CE78A" w14:textId="1788E461" w:rsidR="00005EB1" w:rsidRDefault="00005EB1" w:rsidP="00005EB1">
      <w:pPr>
        <w:pStyle w:val="Untertitel"/>
        <w:jc w:val="left"/>
        <w:rPr>
          <w:sz w:val="28"/>
          <w:szCs w:val="28"/>
          <w:lang w:val="fr-FR"/>
        </w:rPr>
      </w:pPr>
      <w:r w:rsidRPr="00005EB1">
        <w:rPr>
          <w:sz w:val="28"/>
          <w:szCs w:val="28"/>
          <w:lang w:val="fr-FR"/>
        </w:rPr>
        <w:t xml:space="preserve">L'acier inoxydable comme alternative pour les composants des </w:t>
      </w:r>
      <w:r w:rsidR="00792552">
        <w:rPr>
          <w:sz w:val="28"/>
          <w:szCs w:val="28"/>
          <w:lang w:val="fr-FR"/>
        </w:rPr>
        <w:t>corps de pompe</w:t>
      </w:r>
      <w:r w:rsidRPr="00005EB1">
        <w:rPr>
          <w:sz w:val="28"/>
          <w:szCs w:val="28"/>
          <w:lang w:val="fr-FR"/>
        </w:rPr>
        <w:t xml:space="preserve"> </w:t>
      </w:r>
      <w:r>
        <w:rPr>
          <w:sz w:val="28"/>
          <w:szCs w:val="28"/>
          <w:lang w:val="fr-FR"/>
        </w:rPr>
        <w:t>preeflow</w:t>
      </w:r>
    </w:p>
    <w:p w14:paraId="32F36DBA" w14:textId="1CC53598" w:rsidR="002F4FF7" w:rsidRPr="00005EB1" w:rsidRDefault="00430B0B" w:rsidP="00005EB1">
      <w:pPr>
        <w:pStyle w:val="Untertitel"/>
        <w:jc w:val="left"/>
        <w:rPr>
          <w:lang w:val="fr-FR"/>
        </w:rPr>
      </w:pPr>
      <w:r w:rsidRPr="00005EB1">
        <w:rPr>
          <w:lang w:val="fr-FR"/>
        </w:rPr>
        <w:br/>
      </w:r>
      <w:r w:rsidR="00005EB1" w:rsidRPr="00005EB1">
        <w:rPr>
          <w:lang w:val="fr-FR"/>
        </w:rPr>
        <w:t xml:space="preserve">Nouveau dans </w:t>
      </w:r>
      <w:r w:rsidR="00720E00">
        <w:rPr>
          <w:lang w:val="fr-FR"/>
        </w:rPr>
        <w:t>la gamme</w:t>
      </w:r>
      <w:r w:rsidR="00005EB1" w:rsidRPr="00005EB1">
        <w:rPr>
          <w:lang w:val="fr-FR"/>
        </w:rPr>
        <w:t xml:space="preserve"> : </w:t>
      </w:r>
      <w:r w:rsidR="007E5CB5">
        <w:rPr>
          <w:lang w:val="fr-FR"/>
        </w:rPr>
        <w:t>le k</w:t>
      </w:r>
      <w:r w:rsidR="00005EB1" w:rsidRPr="00005EB1">
        <w:rPr>
          <w:lang w:val="fr-FR"/>
        </w:rPr>
        <w:t xml:space="preserve">it en acier inoxydable pour </w:t>
      </w:r>
      <w:r w:rsidR="008420EA">
        <w:rPr>
          <w:lang w:val="fr-FR"/>
        </w:rPr>
        <w:t xml:space="preserve">les </w:t>
      </w:r>
      <w:r w:rsidR="007E5CB5">
        <w:rPr>
          <w:lang w:val="fr-FR"/>
        </w:rPr>
        <w:t>e</w:t>
      </w:r>
      <w:r w:rsidR="00005EB1" w:rsidRPr="00005EB1">
        <w:rPr>
          <w:lang w:val="fr-FR"/>
        </w:rPr>
        <w:t>co-PEN 300 à 450</w:t>
      </w:r>
    </w:p>
    <w:p w14:paraId="3FC53B68" w14:textId="77777777" w:rsidR="002F4FF7" w:rsidRPr="00005EB1" w:rsidRDefault="002F4FF7" w:rsidP="002F4FF7">
      <w:pPr>
        <w:rPr>
          <w:lang w:val="fr-FR"/>
        </w:rPr>
      </w:pPr>
    </w:p>
    <w:p w14:paraId="607FC9E1" w14:textId="49F9B302" w:rsidR="002F4FF7" w:rsidRDefault="00005EB1" w:rsidP="002F4FF7">
      <w:pPr>
        <w:pStyle w:val="Presse-Fliesstext"/>
        <w:rPr>
          <w:lang w:val="fr-FR"/>
        </w:rPr>
      </w:pPr>
      <w:r w:rsidRPr="00005EB1">
        <w:rPr>
          <w:lang w:val="fr-FR"/>
        </w:rPr>
        <w:t>Des exigences particulières nécessitent des mesures particulières. Pour répondre aux exigences des clients et des partenaires commerciaux, preeflow a développé un kit en acier inoxydable pour les d</w:t>
      </w:r>
      <w:r w:rsidR="005C5896">
        <w:rPr>
          <w:lang w:val="fr-FR"/>
        </w:rPr>
        <w:t>oseurs</w:t>
      </w:r>
      <w:r w:rsidRPr="00005EB1">
        <w:rPr>
          <w:lang w:val="fr-FR"/>
        </w:rPr>
        <w:t xml:space="preserve"> eco-PEN 300, 330 et 450. </w:t>
      </w:r>
      <w:r w:rsidR="005C5896" w:rsidRPr="005C5896">
        <w:rPr>
          <w:rStyle w:val="st"/>
          <w:lang w:val="fr-FR"/>
        </w:rPr>
        <w:t xml:space="preserve">Ces composants </w:t>
      </w:r>
      <w:r w:rsidR="005C5896">
        <w:rPr>
          <w:rStyle w:val="st"/>
          <w:lang w:val="fr-FR"/>
        </w:rPr>
        <w:t xml:space="preserve">des corps de pompe </w:t>
      </w:r>
      <w:r w:rsidR="005C5896" w:rsidRPr="005C5896">
        <w:rPr>
          <w:rStyle w:val="st"/>
          <w:lang w:val="fr-FR"/>
        </w:rPr>
        <w:t>sont maintenant disponibles</w:t>
      </w:r>
      <w:r w:rsidR="00507B1B">
        <w:rPr>
          <w:rStyle w:val="st"/>
          <w:lang w:val="fr-FR"/>
        </w:rPr>
        <w:t xml:space="preserve"> dans notre stock</w:t>
      </w:r>
      <w:r w:rsidR="005C5896" w:rsidRPr="005C5896">
        <w:rPr>
          <w:rStyle w:val="st"/>
          <w:lang w:val="fr-FR"/>
        </w:rPr>
        <w:t>.</w:t>
      </w:r>
      <w:r w:rsidR="00F52383">
        <w:rPr>
          <w:rStyle w:val="st"/>
          <w:lang w:val="fr-FR"/>
        </w:rPr>
        <w:t xml:space="preserve"> </w:t>
      </w:r>
      <w:r w:rsidRPr="00005EB1">
        <w:rPr>
          <w:lang w:val="fr-FR"/>
        </w:rPr>
        <w:t>Le kit en acier inoxydable est parfaitement adapté à la conversion d'un d</w:t>
      </w:r>
      <w:r w:rsidR="00F52383">
        <w:rPr>
          <w:lang w:val="fr-FR"/>
        </w:rPr>
        <w:t>oseur</w:t>
      </w:r>
      <w:r w:rsidRPr="00005EB1">
        <w:rPr>
          <w:lang w:val="fr-FR"/>
        </w:rPr>
        <w:t xml:space="preserve"> standard </w:t>
      </w:r>
      <w:r w:rsidR="00F52383">
        <w:rPr>
          <w:lang w:val="fr-FR"/>
        </w:rPr>
        <w:t>e</w:t>
      </w:r>
      <w:r w:rsidRPr="00005EB1">
        <w:rPr>
          <w:lang w:val="fr-FR"/>
        </w:rPr>
        <w:t>co-PEN. Les composants en acier inoxydable remplacent les composants standard du boîtier en POM (</w:t>
      </w:r>
      <w:proofErr w:type="spellStart"/>
      <w:r w:rsidRPr="00005EB1">
        <w:rPr>
          <w:lang w:val="fr-FR"/>
        </w:rPr>
        <w:t>polyoxyméthylène</w:t>
      </w:r>
      <w:proofErr w:type="spellEnd"/>
      <w:r w:rsidRPr="00005EB1">
        <w:rPr>
          <w:lang w:val="fr-FR"/>
        </w:rPr>
        <w:t>). Toutes les pièces en contact avec les produits des nouveaux kits sont fabriquées en acier inoxydable 1.4404 (AISI 316L) de haute qualité.</w:t>
      </w:r>
    </w:p>
    <w:p w14:paraId="1E96AAEB" w14:textId="77777777" w:rsidR="005C5896" w:rsidRPr="00005EB1" w:rsidRDefault="005C5896" w:rsidP="002F4FF7">
      <w:pPr>
        <w:pStyle w:val="Presse-Fliesstext"/>
        <w:rPr>
          <w:lang w:val="fr-FR"/>
        </w:rPr>
      </w:pPr>
    </w:p>
    <w:p w14:paraId="7B528F23" w14:textId="271506A6" w:rsidR="002F4FF7" w:rsidRDefault="00005EB1" w:rsidP="002F4FF7">
      <w:pPr>
        <w:pStyle w:val="Presse-Fliesstext"/>
        <w:rPr>
          <w:lang w:val="fr-FR"/>
        </w:rPr>
      </w:pPr>
      <w:r w:rsidRPr="00005EB1">
        <w:rPr>
          <w:lang w:val="fr-FR"/>
        </w:rPr>
        <w:t xml:space="preserve">Diverses exigences dans des applications spécifiques ont </w:t>
      </w:r>
      <w:r w:rsidR="001E683B">
        <w:rPr>
          <w:lang w:val="fr-FR"/>
        </w:rPr>
        <w:t xml:space="preserve">nécessité un </w:t>
      </w:r>
      <w:r w:rsidRPr="00005EB1">
        <w:rPr>
          <w:lang w:val="fr-FR"/>
        </w:rPr>
        <w:t>élargissement d</w:t>
      </w:r>
      <w:r w:rsidR="001E683B">
        <w:rPr>
          <w:lang w:val="fr-FR"/>
        </w:rPr>
        <w:t>e la gamme</w:t>
      </w:r>
      <w:r w:rsidRPr="00005EB1">
        <w:rPr>
          <w:lang w:val="fr-FR"/>
        </w:rPr>
        <w:t xml:space="preserve"> :</w:t>
      </w:r>
    </w:p>
    <w:p w14:paraId="0BAD0CDF" w14:textId="77777777" w:rsidR="00005EB1" w:rsidRPr="00005EB1" w:rsidRDefault="00005EB1" w:rsidP="002F4FF7">
      <w:pPr>
        <w:pStyle w:val="Presse-Fliesstext"/>
        <w:rPr>
          <w:lang w:val="fr-FR"/>
        </w:rPr>
      </w:pPr>
    </w:p>
    <w:p w14:paraId="59E8B868" w14:textId="79F87621" w:rsidR="00005EB1" w:rsidRDefault="00005EB1" w:rsidP="003E30D0">
      <w:pPr>
        <w:pStyle w:val="Presse-Fliesstext"/>
        <w:numPr>
          <w:ilvl w:val="0"/>
          <w:numId w:val="12"/>
        </w:numPr>
        <w:rPr>
          <w:lang w:val="fr-FR"/>
        </w:rPr>
      </w:pPr>
      <w:r w:rsidRPr="00005EB1">
        <w:rPr>
          <w:lang w:val="fr-FR"/>
        </w:rPr>
        <w:t xml:space="preserve">Certaines applications exigent que toutes les parties de l'équipement de dosage en contact avec le produit soient en acier inoxydable, </w:t>
      </w:r>
      <w:proofErr w:type="spellStart"/>
      <w:r w:rsidRPr="00005EB1">
        <w:rPr>
          <w:lang w:val="fr-FR"/>
        </w:rPr>
        <w:t>VisChem</w:t>
      </w:r>
      <w:proofErr w:type="spellEnd"/>
      <w:r w:rsidRPr="00005EB1">
        <w:rPr>
          <w:lang w:val="fr-FR"/>
        </w:rPr>
        <w:t xml:space="preserve"> et FFKM.</w:t>
      </w:r>
    </w:p>
    <w:p w14:paraId="4BD8BA19" w14:textId="77777777" w:rsidR="00010B27" w:rsidRPr="00005EB1" w:rsidRDefault="00010B27" w:rsidP="00010B27">
      <w:pPr>
        <w:pStyle w:val="Presse-Fliesstext"/>
        <w:ind w:left="720"/>
        <w:rPr>
          <w:lang w:val="fr-FR"/>
        </w:rPr>
      </w:pPr>
    </w:p>
    <w:p w14:paraId="4FF7636B" w14:textId="4A8481B4" w:rsidR="00005EB1" w:rsidRDefault="00005EB1" w:rsidP="003E30D0">
      <w:pPr>
        <w:pStyle w:val="Presse-Fliesstext"/>
        <w:numPr>
          <w:ilvl w:val="0"/>
          <w:numId w:val="12"/>
        </w:numPr>
        <w:rPr>
          <w:lang w:val="fr-FR"/>
        </w:rPr>
      </w:pPr>
      <w:r w:rsidRPr="00005EB1">
        <w:rPr>
          <w:lang w:val="fr-FR"/>
        </w:rPr>
        <w:t>Dans d'autres</w:t>
      </w:r>
      <w:r w:rsidR="00010B27">
        <w:rPr>
          <w:lang w:val="fr-FR"/>
        </w:rPr>
        <w:t xml:space="preserve"> applications</w:t>
      </w:r>
      <w:r w:rsidRPr="00005EB1">
        <w:rPr>
          <w:lang w:val="fr-FR"/>
        </w:rPr>
        <w:t xml:space="preserve">, certains composants des </w:t>
      </w:r>
      <w:r w:rsidR="00010B27">
        <w:rPr>
          <w:lang w:val="fr-FR"/>
        </w:rPr>
        <w:t xml:space="preserve">produits </w:t>
      </w:r>
      <w:r w:rsidRPr="00005EB1">
        <w:rPr>
          <w:lang w:val="fr-FR"/>
        </w:rPr>
        <w:t xml:space="preserve">de dosage, par exemple les solvants ou les plastifiants, ont un effet négatif sur le POM (dégradation en fonction de la température, du temps et de la concentration du matériau). </w:t>
      </w:r>
      <w:r w:rsidR="00010B27" w:rsidRPr="00010B27">
        <w:rPr>
          <w:lang w:val="fr-FR"/>
        </w:rPr>
        <w:t xml:space="preserve">Après des essais approfondis, </w:t>
      </w:r>
      <w:r w:rsidR="00010B27">
        <w:rPr>
          <w:lang w:val="fr-FR"/>
        </w:rPr>
        <w:t>c</w:t>
      </w:r>
      <w:r w:rsidRPr="00005EB1">
        <w:rPr>
          <w:lang w:val="fr-FR"/>
        </w:rPr>
        <w:t xml:space="preserve">es </w:t>
      </w:r>
      <w:r w:rsidR="00010B27">
        <w:rPr>
          <w:lang w:val="fr-FR"/>
        </w:rPr>
        <w:t>produits</w:t>
      </w:r>
      <w:r w:rsidRPr="00005EB1">
        <w:rPr>
          <w:lang w:val="fr-FR"/>
        </w:rPr>
        <w:t xml:space="preserve"> peuvent maintenant être dosés</w:t>
      </w:r>
      <w:r w:rsidR="00010B27">
        <w:rPr>
          <w:lang w:val="fr-FR"/>
        </w:rPr>
        <w:t xml:space="preserve"> sans problème</w:t>
      </w:r>
      <w:r w:rsidRPr="00005EB1">
        <w:rPr>
          <w:lang w:val="fr-FR"/>
        </w:rPr>
        <w:t>.</w:t>
      </w:r>
    </w:p>
    <w:p w14:paraId="45461A7A" w14:textId="77777777" w:rsidR="00010B27" w:rsidRPr="00005EB1" w:rsidRDefault="00010B27" w:rsidP="00010B27">
      <w:pPr>
        <w:pStyle w:val="Presse-Fliesstext"/>
        <w:ind w:left="720"/>
        <w:rPr>
          <w:lang w:val="fr-FR"/>
        </w:rPr>
      </w:pPr>
    </w:p>
    <w:p w14:paraId="60ADE074" w14:textId="18AB9CB4" w:rsidR="00005EB1" w:rsidRDefault="00005EB1" w:rsidP="003E30D0">
      <w:pPr>
        <w:pStyle w:val="Presse-Fliesstext"/>
        <w:numPr>
          <w:ilvl w:val="0"/>
          <w:numId w:val="12"/>
        </w:numPr>
        <w:rPr>
          <w:lang w:val="fr-FR"/>
        </w:rPr>
      </w:pPr>
      <w:r w:rsidRPr="00005EB1">
        <w:rPr>
          <w:lang w:val="fr-FR"/>
        </w:rPr>
        <w:t xml:space="preserve">Selon le </w:t>
      </w:r>
      <w:r w:rsidR="00EC25CB">
        <w:rPr>
          <w:lang w:val="fr-FR"/>
        </w:rPr>
        <w:t>produit</w:t>
      </w:r>
      <w:r w:rsidRPr="00005EB1">
        <w:rPr>
          <w:lang w:val="fr-FR"/>
        </w:rPr>
        <w:t xml:space="preserve"> utilisé, il peut également être nécessaire que les composants du boîtier en contact avec </w:t>
      </w:r>
      <w:r w:rsidR="00EC25CB">
        <w:rPr>
          <w:lang w:val="fr-FR"/>
        </w:rPr>
        <w:t>lui</w:t>
      </w:r>
      <w:r w:rsidRPr="00005EB1">
        <w:rPr>
          <w:lang w:val="fr-FR"/>
        </w:rPr>
        <w:t xml:space="preserve"> soient résistants aux flux de brasage, aux oxydants (peroxydes ou ozone) ou aux acides organiques et inorganiques inférieurs à ph4.</w:t>
      </w:r>
    </w:p>
    <w:p w14:paraId="53AC8FEE" w14:textId="77777777" w:rsidR="00EC25CB" w:rsidRDefault="00EC25CB" w:rsidP="00EC25CB">
      <w:pPr>
        <w:pStyle w:val="Listenabsatz"/>
        <w:rPr>
          <w:lang w:val="fr-FR"/>
        </w:rPr>
      </w:pPr>
    </w:p>
    <w:p w14:paraId="375F0446" w14:textId="095F44F4" w:rsidR="002F4FF7" w:rsidRDefault="00005EB1" w:rsidP="003E30D0">
      <w:pPr>
        <w:pStyle w:val="Presse-Fliesstext"/>
        <w:numPr>
          <w:ilvl w:val="0"/>
          <w:numId w:val="12"/>
        </w:numPr>
        <w:rPr>
          <w:lang w:val="fr-FR"/>
        </w:rPr>
      </w:pPr>
      <w:r w:rsidRPr="00005EB1">
        <w:rPr>
          <w:lang w:val="fr-FR"/>
        </w:rPr>
        <w:lastRenderedPageBreak/>
        <w:t>Et dans certaines applications, une conception robuste est nécessaire en raison d</w:t>
      </w:r>
      <w:r w:rsidR="00EC25CB">
        <w:rPr>
          <w:lang w:val="fr-FR"/>
        </w:rPr>
        <w:t xml:space="preserve">’une fréquence de nettoyage très importante. </w:t>
      </w:r>
    </w:p>
    <w:p w14:paraId="181AE1A8" w14:textId="77777777" w:rsidR="00EC25CB" w:rsidRPr="00005EB1" w:rsidRDefault="00EC25CB" w:rsidP="00EC25CB">
      <w:pPr>
        <w:pStyle w:val="Presse-Fliesstext"/>
        <w:rPr>
          <w:lang w:val="fr-FR"/>
        </w:rPr>
      </w:pPr>
    </w:p>
    <w:p w14:paraId="184BF565" w14:textId="1AE181C3" w:rsidR="00E36593" w:rsidRDefault="00E36593" w:rsidP="00EC25CB">
      <w:pPr>
        <w:pStyle w:val="Presse-Fliesstext"/>
        <w:rPr>
          <w:lang w:val="fr-FR"/>
        </w:rPr>
      </w:pPr>
      <w:r w:rsidRPr="00E36593">
        <w:rPr>
          <w:lang w:val="fr-FR"/>
        </w:rPr>
        <w:t xml:space="preserve">En termes de dimensions, la version en acier inoxydable est absolument identique à la version standard en plastique. Le poids </w:t>
      </w:r>
      <w:r w:rsidR="00070F6F">
        <w:rPr>
          <w:lang w:val="fr-FR"/>
        </w:rPr>
        <w:t>en sus</w:t>
      </w:r>
      <w:r w:rsidRPr="00E36593">
        <w:rPr>
          <w:lang w:val="fr-FR"/>
        </w:rPr>
        <w:t xml:space="preserve"> par rapport à la version POM est de 100 g pour l'eco-PEN 300 et de 185 g pour les eco-PEN 330 et 450.</w:t>
      </w:r>
    </w:p>
    <w:p w14:paraId="02756F2E" w14:textId="77777777" w:rsidR="00E36593" w:rsidRPr="00E36593" w:rsidRDefault="00E36593" w:rsidP="00E36593">
      <w:pPr>
        <w:pStyle w:val="Presse-Fliesstext"/>
        <w:ind w:left="720"/>
        <w:rPr>
          <w:lang w:val="fr-FR"/>
        </w:rPr>
      </w:pPr>
    </w:p>
    <w:p w14:paraId="5A9CBD7F" w14:textId="4A779116" w:rsidR="002F4FF7" w:rsidRDefault="00070F6F" w:rsidP="002F4FF7">
      <w:pPr>
        <w:pStyle w:val="Presse-Fliesstext"/>
        <w:rPr>
          <w:lang w:val="fr-FR"/>
        </w:rPr>
      </w:pPr>
      <w:r>
        <w:rPr>
          <w:lang w:val="fr-FR"/>
        </w:rPr>
        <w:t>Retrouvez de</w:t>
      </w:r>
      <w:r w:rsidR="00FC1C70" w:rsidRPr="00FC1C70">
        <w:rPr>
          <w:lang w:val="fr-FR"/>
        </w:rPr>
        <w:t xml:space="preserve"> plus amples informations sur la série</w:t>
      </w:r>
      <w:r>
        <w:rPr>
          <w:lang w:val="fr-FR"/>
        </w:rPr>
        <w:t xml:space="preserve"> des</w:t>
      </w:r>
      <w:r w:rsidR="00FC1C70" w:rsidRPr="00FC1C70">
        <w:rPr>
          <w:lang w:val="fr-FR"/>
        </w:rPr>
        <w:t xml:space="preserve"> </w:t>
      </w:r>
      <w:r>
        <w:rPr>
          <w:lang w:val="fr-FR"/>
        </w:rPr>
        <w:t>e</w:t>
      </w:r>
      <w:r w:rsidR="00FC1C70" w:rsidRPr="00FC1C70">
        <w:rPr>
          <w:lang w:val="fr-FR"/>
        </w:rPr>
        <w:t xml:space="preserve">co-PEN sur le site web </w:t>
      </w:r>
      <w:r>
        <w:rPr>
          <w:lang w:val="fr-FR"/>
        </w:rPr>
        <w:t>de p</w:t>
      </w:r>
      <w:r w:rsidR="00FC1C70" w:rsidRPr="00FC1C70">
        <w:rPr>
          <w:lang w:val="fr-FR"/>
        </w:rPr>
        <w:t xml:space="preserve">reeflow : </w:t>
      </w:r>
      <w:hyperlink r:id="rId8" w:history="1">
        <w:r w:rsidRPr="00752505">
          <w:rPr>
            <w:rStyle w:val="Hyperlink"/>
            <w:lang w:val="fr-FR"/>
          </w:rPr>
          <w:t>https://www.preeflow.com/fr/produits/doseur-monocomposant/</w:t>
        </w:r>
      </w:hyperlink>
    </w:p>
    <w:p w14:paraId="63F70214" w14:textId="4A1E8608" w:rsidR="0021275C" w:rsidRPr="00FC1C70" w:rsidRDefault="0021275C" w:rsidP="002F4FF7">
      <w:pPr>
        <w:pStyle w:val="Untertitel"/>
        <w:rPr>
          <w:lang w:val="fr-FR"/>
        </w:rPr>
      </w:pPr>
    </w:p>
    <w:p w14:paraId="59FC63FB" w14:textId="77777777" w:rsidR="001C5162" w:rsidRPr="00CC3C65" w:rsidRDefault="001C5162" w:rsidP="00A1611B">
      <w:pPr>
        <w:pStyle w:val="Untertitel"/>
        <w:rPr>
          <w:lang w:val="fr-FR"/>
        </w:rPr>
      </w:pPr>
    </w:p>
    <w:p w14:paraId="5D5BB263" w14:textId="4839DF31" w:rsidR="00A1611B" w:rsidRPr="00070F6F" w:rsidRDefault="00FC1C70" w:rsidP="00A1611B">
      <w:pPr>
        <w:pStyle w:val="Untertitel"/>
        <w:rPr>
          <w:u w:val="single"/>
        </w:rPr>
      </w:pPr>
      <w:r w:rsidRPr="00070F6F">
        <w:rPr>
          <w:u w:val="single"/>
        </w:rPr>
        <w:t>Images</w:t>
      </w:r>
      <w:r w:rsidR="00A1611B" w:rsidRPr="00070F6F">
        <w:rPr>
          <w:u w:val="single"/>
        </w:rPr>
        <w:t>:</w:t>
      </w:r>
    </w:p>
    <w:p w14:paraId="21D774A1" w14:textId="25E423F9" w:rsidR="00974CD8" w:rsidRPr="003F684A" w:rsidRDefault="00F41C55" w:rsidP="00A1611B">
      <w:pPr>
        <w:pStyle w:val="Untertitel"/>
      </w:pPr>
      <w:r>
        <w:rPr>
          <w:noProof/>
        </w:rPr>
        <w:drawing>
          <wp:inline distT="0" distB="0" distL="0" distR="0" wp14:anchorId="3A075607" wp14:editId="2EE999B2">
            <wp:extent cx="3305175" cy="2205095"/>
            <wp:effectExtent l="19050" t="19050" r="9525" b="2413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16375" cy="2212568"/>
                    </a:xfrm>
                    <a:prstGeom prst="rect">
                      <a:avLst/>
                    </a:prstGeom>
                    <a:noFill/>
                    <a:ln>
                      <a:solidFill>
                        <a:schemeClr val="accent1"/>
                      </a:solidFill>
                    </a:ln>
                  </pic:spPr>
                </pic:pic>
              </a:graphicData>
            </a:graphic>
          </wp:inline>
        </w:drawing>
      </w:r>
    </w:p>
    <w:p w14:paraId="5439633F" w14:textId="34E58318" w:rsidR="001C5162" w:rsidRPr="00FC1C70" w:rsidRDefault="00C92D30" w:rsidP="00A1611B">
      <w:pPr>
        <w:pStyle w:val="Untertitel"/>
        <w:rPr>
          <w:lang w:val="fr-FR"/>
        </w:rPr>
      </w:pPr>
      <w:r>
        <w:rPr>
          <w:rFonts w:eastAsia="Times New Roman"/>
          <w:b w:val="0"/>
          <w:i/>
          <w:sz w:val="18"/>
          <w:szCs w:val="18"/>
          <w:lang w:val="fr-FR" w:eastAsia="de-DE"/>
        </w:rPr>
        <w:t>Les t</w:t>
      </w:r>
      <w:r w:rsidR="00FC1C70" w:rsidRPr="00FC1C70">
        <w:rPr>
          <w:rFonts w:eastAsia="Times New Roman"/>
          <w:b w:val="0"/>
          <w:i/>
          <w:sz w:val="18"/>
          <w:szCs w:val="18"/>
          <w:lang w:val="fr-FR" w:eastAsia="de-DE"/>
        </w:rPr>
        <w:t>rois</w:t>
      </w:r>
      <w:r>
        <w:rPr>
          <w:rFonts w:eastAsia="Times New Roman"/>
          <w:b w:val="0"/>
          <w:i/>
          <w:sz w:val="18"/>
          <w:szCs w:val="18"/>
          <w:lang w:val="fr-FR" w:eastAsia="de-DE"/>
        </w:rPr>
        <w:t xml:space="preserve"> différents</w:t>
      </w:r>
      <w:r w:rsidR="00FC1C70" w:rsidRPr="00FC1C70">
        <w:rPr>
          <w:rFonts w:eastAsia="Times New Roman"/>
          <w:b w:val="0"/>
          <w:i/>
          <w:sz w:val="18"/>
          <w:szCs w:val="18"/>
          <w:lang w:val="fr-FR" w:eastAsia="de-DE"/>
        </w:rPr>
        <w:t xml:space="preserve"> kits en acier inoxydable pour la série complète d</w:t>
      </w:r>
      <w:r>
        <w:rPr>
          <w:rFonts w:eastAsia="Times New Roman"/>
          <w:b w:val="0"/>
          <w:i/>
          <w:sz w:val="18"/>
          <w:szCs w:val="18"/>
          <w:lang w:val="fr-FR" w:eastAsia="de-DE"/>
        </w:rPr>
        <w:t xml:space="preserve">es </w:t>
      </w:r>
      <w:r w:rsidR="00FC1C70" w:rsidRPr="00FC1C70">
        <w:rPr>
          <w:rFonts w:eastAsia="Times New Roman"/>
          <w:b w:val="0"/>
          <w:i/>
          <w:sz w:val="18"/>
          <w:szCs w:val="18"/>
          <w:lang w:val="fr-FR" w:eastAsia="de-DE"/>
        </w:rPr>
        <w:t xml:space="preserve">eco-PEN </w:t>
      </w:r>
      <w:r w:rsidR="00FC1C70">
        <w:rPr>
          <w:rFonts w:eastAsia="Times New Roman"/>
          <w:b w:val="0"/>
          <w:i/>
          <w:sz w:val="18"/>
          <w:szCs w:val="18"/>
          <w:lang w:val="fr-FR" w:eastAsia="de-DE"/>
        </w:rPr>
        <w:t>preeflow</w:t>
      </w:r>
    </w:p>
    <w:p w14:paraId="1E6BC259" w14:textId="77777777" w:rsidR="001C5162" w:rsidRPr="00FC1C70" w:rsidRDefault="001C5162" w:rsidP="00A1611B">
      <w:pPr>
        <w:pStyle w:val="Untertitel"/>
        <w:rPr>
          <w:lang w:val="fr-FR"/>
        </w:rPr>
      </w:pPr>
    </w:p>
    <w:p w14:paraId="45028736" w14:textId="77777777" w:rsidR="003A6E46" w:rsidRDefault="003A6E46" w:rsidP="00FC1C70">
      <w:pPr>
        <w:pStyle w:val="Untertitel"/>
        <w:rPr>
          <w:lang w:val="fr-FR"/>
        </w:rPr>
      </w:pPr>
    </w:p>
    <w:p w14:paraId="50E2404D" w14:textId="77777777" w:rsidR="003A6E46" w:rsidRDefault="003A6E46" w:rsidP="00FC1C70">
      <w:pPr>
        <w:pStyle w:val="Untertitel"/>
        <w:rPr>
          <w:lang w:val="fr-FR"/>
        </w:rPr>
      </w:pPr>
    </w:p>
    <w:p w14:paraId="5AD248ED" w14:textId="77777777" w:rsidR="003A6E46" w:rsidRDefault="003A6E46" w:rsidP="00FC1C70">
      <w:pPr>
        <w:pStyle w:val="Untertitel"/>
        <w:rPr>
          <w:lang w:val="fr-FR"/>
        </w:rPr>
      </w:pPr>
    </w:p>
    <w:p w14:paraId="70D5CE38" w14:textId="77777777" w:rsidR="003A6E46" w:rsidRDefault="003A6E46" w:rsidP="00FC1C70">
      <w:pPr>
        <w:pStyle w:val="Untertitel"/>
        <w:rPr>
          <w:lang w:val="fr-FR"/>
        </w:rPr>
      </w:pPr>
    </w:p>
    <w:p w14:paraId="3DCB8B9D" w14:textId="77777777" w:rsidR="003A6E46" w:rsidRDefault="003A6E46" w:rsidP="00FC1C70">
      <w:pPr>
        <w:pStyle w:val="Untertitel"/>
        <w:rPr>
          <w:lang w:val="fr-FR"/>
        </w:rPr>
      </w:pPr>
    </w:p>
    <w:p w14:paraId="5A8223A9" w14:textId="77777777" w:rsidR="003A6E46" w:rsidRDefault="003A6E46" w:rsidP="00FC1C70">
      <w:pPr>
        <w:pStyle w:val="Untertitel"/>
        <w:rPr>
          <w:lang w:val="fr-FR"/>
        </w:rPr>
      </w:pPr>
    </w:p>
    <w:p w14:paraId="6707DC8A" w14:textId="77777777" w:rsidR="003A6E46" w:rsidRDefault="003A6E46" w:rsidP="00FC1C70">
      <w:pPr>
        <w:pStyle w:val="Untertitel"/>
        <w:rPr>
          <w:lang w:val="fr-FR"/>
        </w:rPr>
      </w:pPr>
    </w:p>
    <w:p w14:paraId="4AC4DDCE" w14:textId="77777777" w:rsidR="003A6E46" w:rsidRDefault="003A6E46" w:rsidP="00FC1C70">
      <w:pPr>
        <w:pStyle w:val="Untertitel"/>
        <w:rPr>
          <w:lang w:val="fr-FR"/>
        </w:rPr>
      </w:pPr>
    </w:p>
    <w:p w14:paraId="6615FB63" w14:textId="77777777" w:rsidR="003A6E46" w:rsidRDefault="003A6E46" w:rsidP="00FC1C70">
      <w:pPr>
        <w:pStyle w:val="Untertitel"/>
        <w:rPr>
          <w:lang w:val="fr-FR"/>
        </w:rPr>
      </w:pPr>
    </w:p>
    <w:p w14:paraId="39D9581A" w14:textId="7D7E01BF" w:rsidR="00FC1C70" w:rsidRDefault="00FC1C70" w:rsidP="00FC1C70">
      <w:pPr>
        <w:pStyle w:val="Untertitel"/>
        <w:rPr>
          <w:lang w:val="fr-FR"/>
        </w:rPr>
      </w:pPr>
      <w:r>
        <w:rPr>
          <w:lang w:val="fr-FR"/>
        </w:rPr>
        <w:lastRenderedPageBreak/>
        <w:t>Le microdosage à la perfection !</w:t>
      </w:r>
    </w:p>
    <w:p w14:paraId="6215B902" w14:textId="77777777" w:rsidR="00FC1C70" w:rsidRDefault="00FC1C70" w:rsidP="00FC1C70">
      <w:pPr>
        <w:rPr>
          <w:lang w:val="fr-FR"/>
        </w:rPr>
      </w:pPr>
      <w:proofErr w:type="gramStart"/>
      <w:r>
        <w:rPr>
          <w:lang w:val="fr-FR"/>
        </w:rPr>
        <w:t>preeflow</w:t>
      </w:r>
      <w:proofErr w:type="gramEnd"/>
      <w:r>
        <w:rPr>
          <w:lang w:val="fr-FR"/>
        </w:rPr>
        <w:t xml:space="preserve">® est une marque de ViscoTec </w:t>
      </w:r>
      <w:proofErr w:type="spellStart"/>
      <w:r>
        <w:rPr>
          <w:lang w:val="fr-FR"/>
        </w:rPr>
        <w:t>Pumpen</w:t>
      </w:r>
      <w:proofErr w:type="spellEnd"/>
      <w:r>
        <w:rPr>
          <w:lang w:val="fr-FR"/>
        </w:rPr>
        <w:t xml:space="preserve">- u. </w:t>
      </w:r>
      <w:proofErr w:type="spellStart"/>
      <w:r>
        <w:rPr>
          <w:lang w:val="fr-FR"/>
        </w:rPr>
        <w:t>Dosiertechnik</w:t>
      </w:r>
      <w:proofErr w:type="spellEnd"/>
      <w:r>
        <w:rPr>
          <w:lang w:val="fr-FR"/>
        </w:rPr>
        <w:t xml:space="preserve"> GmbH. ViscoTec s'occupe principalement des systèmes dédiés au pompage, au dosage, à l'application, au remplissage et au prélèvement de fluides de viscosité moyenne à </w:t>
      </w:r>
      <w:proofErr w:type="spellStart"/>
      <w:r>
        <w:rPr>
          <w:lang w:val="fr-FR"/>
        </w:rPr>
        <w:t>élevée</w:t>
      </w:r>
      <w:proofErr w:type="spellEnd"/>
      <w:r>
        <w:rPr>
          <w:lang w:val="fr-FR"/>
        </w:rPr>
        <w:t xml:space="preserve">. Le siège du leader technologique se trouve à </w:t>
      </w:r>
      <w:proofErr w:type="spellStart"/>
      <w:r>
        <w:rPr>
          <w:lang w:val="fr-FR"/>
        </w:rPr>
        <w:t>Töging</w:t>
      </w:r>
      <w:proofErr w:type="spellEnd"/>
      <w:r>
        <w:rPr>
          <w:lang w:val="fr-FR"/>
        </w:rPr>
        <w:t xml:space="preserve"> (en Bavière, près de Munich). ViscoTec possède également des filiales aux États-Unis, en Chine, à Singapour, en Inde et en France et emploie environ 260 personnes dans le monde entier. La marque preeflow®, créée en 2008, est synonyme de dosage précis et purement volumétrique de liquides en très petites quantités. Les produits preeflow® sont appréciés dans le monde entier, notamment pour leur qualité unique - Made in Germany. De nombreux revendeurs dans le monde entier offre un service et une assistance professionnels pour tous les systèmes de dosage preeflow. La gamme diversifiée d'applications comprend les secteurs de l'automobile, de l'électricité et de l'électronique, de la technologie médicale, de l'aéronautique, des énergies renouvelables, de la technologie électrique et hybride, et de la technologie des mesures et des capteurs. Tous les systèmes preeflow® peuvent être facilement intégrés grâce à des interfaces standardisées. Plus de 20 000 systèmes preeflow® dans le monde fonctionnent dans des applications de dosage semi- ou entièrement automatisées, à l'entière satisfaction des utilisateurs et des clients.</w:t>
      </w:r>
    </w:p>
    <w:p w14:paraId="6EB2F138" w14:textId="77777777" w:rsidR="00BD097C" w:rsidRPr="00FC1C70" w:rsidRDefault="00BD097C" w:rsidP="00A1611B">
      <w:pPr>
        <w:rPr>
          <w:lang w:val="fr-FR"/>
        </w:rPr>
      </w:pPr>
    </w:p>
    <w:p w14:paraId="61DCE4A8" w14:textId="3BF7A1F1" w:rsidR="00BD097C" w:rsidRPr="003F684A" w:rsidRDefault="00FC1C70" w:rsidP="00A1611B">
      <w:pPr>
        <w:pStyle w:val="Untertitel"/>
      </w:pPr>
      <w:proofErr w:type="spellStart"/>
      <w:r>
        <w:t>Contacts</w:t>
      </w:r>
      <w:proofErr w:type="spellEnd"/>
      <w:r>
        <w:t xml:space="preserve"> presse:</w:t>
      </w:r>
    </w:p>
    <w:p w14:paraId="723CEFD9" w14:textId="77777777" w:rsidR="00BD097C" w:rsidRPr="003F684A" w:rsidRDefault="00BD097C" w:rsidP="00A1611B">
      <w:pPr>
        <w:spacing w:after="0"/>
      </w:pPr>
      <w:r w:rsidRPr="003F684A">
        <w:t xml:space="preserve">Thomas Diringer, Leiter Geschäftsfeld </w:t>
      </w:r>
      <w:r w:rsidR="005814C0" w:rsidRPr="003F684A">
        <w:t>Components &amp; Devices</w:t>
      </w:r>
    </w:p>
    <w:p w14:paraId="26CA4A79" w14:textId="77777777" w:rsidR="00BD097C" w:rsidRPr="003F684A" w:rsidRDefault="00BD097C" w:rsidP="00A1611B">
      <w:pPr>
        <w:spacing w:after="0"/>
      </w:pPr>
      <w:r w:rsidRPr="003F684A">
        <w:t>ViscoTec Pumpen- u. Dosiertechnik GmbH</w:t>
      </w:r>
    </w:p>
    <w:p w14:paraId="3997DA80" w14:textId="77777777" w:rsidR="00BD097C" w:rsidRPr="003F684A" w:rsidRDefault="00BD097C" w:rsidP="00A1611B">
      <w:pPr>
        <w:spacing w:after="0"/>
      </w:pPr>
      <w:proofErr w:type="spellStart"/>
      <w:r w:rsidRPr="003F684A">
        <w:t>Amperstraße</w:t>
      </w:r>
      <w:proofErr w:type="spellEnd"/>
      <w:r w:rsidRPr="003F684A">
        <w:t xml:space="preserve"> 13, D-84513 Töging a. Inn</w:t>
      </w:r>
    </w:p>
    <w:p w14:paraId="11A6327A" w14:textId="77777777" w:rsidR="00BD097C" w:rsidRPr="003F684A" w:rsidRDefault="00BD097C" w:rsidP="00A1611B">
      <w:pPr>
        <w:spacing w:after="0"/>
      </w:pPr>
      <w:r w:rsidRPr="003F684A">
        <w:t xml:space="preserve">Telefon +49 8631 9274-441 </w:t>
      </w:r>
    </w:p>
    <w:p w14:paraId="2FEB1ADC" w14:textId="77777777" w:rsidR="00BD097C" w:rsidRPr="003F684A" w:rsidRDefault="00BD097C" w:rsidP="00A1611B">
      <w:pPr>
        <w:spacing w:after="0"/>
      </w:pPr>
      <w:r w:rsidRPr="003F684A">
        <w:t>E-Mail: thomas.diringer@viscotec.de · www.preeflow.com</w:t>
      </w:r>
    </w:p>
    <w:p w14:paraId="697227A9" w14:textId="77777777" w:rsidR="00BD097C" w:rsidRPr="003F684A" w:rsidRDefault="00BD097C" w:rsidP="00A1611B">
      <w:pPr>
        <w:spacing w:after="0"/>
      </w:pPr>
    </w:p>
    <w:p w14:paraId="5B687202" w14:textId="77777777" w:rsidR="00BD097C" w:rsidRPr="003F684A" w:rsidRDefault="00EC704D" w:rsidP="00A1611B">
      <w:pPr>
        <w:spacing w:after="0"/>
      </w:pPr>
      <w:r w:rsidRPr="003F684A">
        <w:t>Melanie Hintereder</w:t>
      </w:r>
      <w:r w:rsidR="00BD097C" w:rsidRPr="003F684A">
        <w:t xml:space="preserve">, </w:t>
      </w:r>
      <w:r w:rsidRPr="003F684A">
        <w:t>M</w:t>
      </w:r>
      <w:r w:rsidR="00BD097C" w:rsidRPr="003F684A">
        <w:t>arketing</w:t>
      </w:r>
    </w:p>
    <w:p w14:paraId="50EA9AFB" w14:textId="77777777" w:rsidR="00BD097C" w:rsidRPr="003F684A" w:rsidRDefault="00BD097C" w:rsidP="00A1611B">
      <w:pPr>
        <w:spacing w:after="0"/>
      </w:pPr>
      <w:r w:rsidRPr="003F684A">
        <w:t>ViscoTec Pumpen- u. Dosiertechnik GmbH</w:t>
      </w:r>
    </w:p>
    <w:p w14:paraId="53486A5F" w14:textId="77777777" w:rsidR="00BD097C" w:rsidRPr="003F684A" w:rsidRDefault="00BD097C" w:rsidP="00A1611B">
      <w:pPr>
        <w:spacing w:after="0"/>
      </w:pPr>
      <w:proofErr w:type="spellStart"/>
      <w:r w:rsidRPr="003F684A">
        <w:t>Amperstraße</w:t>
      </w:r>
      <w:proofErr w:type="spellEnd"/>
      <w:r w:rsidRPr="003F684A">
        <w:t xml:space="preserve"> 13, D-84513 Töging a. Inn</w:t>
      </w:r>
    </w:p>
    <w:p w14:paraId="1C259A87" w14:textId="77777777" w:rsidR="00BD097C" w:rsidRPr="003F684A" w:rsidRDefault="00BD097C" w:rsidP="00A1611B">
      <w:pPr>
        <w:spacing w:after="0"/>
      </w:pPr>
      <w:r w:rsidRPr="003F684A">
        <w:t>Telefon +49 8631 9274-4</w:t>
      </w:r>
      <w:r w:rsidR="00EC704D" w:rsidRPr="003F684A">
        <w:t>04</w:t>
      </w:r>
      <w:r w:rsidRPr="003F684A">
        <w:t xml:space="preserve"> </w:t>
      </w:r>
    </w:p>
    <w:p w14:paraId="69A5E29D" w14:textId="77777777" w:rsidR="00BD097C" w:rsidRPr="003F684A" w:rsidRDefault="00BD097C" w:rsidP="00A1611B">
      <w:pPr>
        <w:spacing w:after="0"/>
      </w:pPr>
      <w:r w:rsidRPr="003F684A">
        <w:t xml:space="preserve">E-Mail: </w:t>
      </w:r>
      <w:r w:rsidR="00EC704D" w:rsidRPr="003F684A">
        <w:t>melanie.hintereder</w:t>
      </w:r>
      <w:r w:rsidRPr="003F684A">
        <w:t>@viscotec.de · www.viscotec.de</w:t>
      </w:r>
    </w:p>
    <w:p w14:paraId="1BF39C5F" w14:textId="77777777" w:rsidR="0050565F" w:rsidRPr="003F684A" w:rsidRDefault="0050565F" w:rsidP="00A1611B"/>
    <w:p w14:paraId="6BC29B3C" w14:textId="77777777" w:rsidR="00207D48" w:rsidRPr="003F684A" w:rsidRDefault="00207D48" w:rsidP="00A1611B"/>
    <w:p w14:paraId="23CA4BE1" w14:textId="77777777" w:rsidR="00207D48" w:rsidRPr="003F684A" w:rsidRDefault="00207D48" w:rsidP="00A1611B"/>
    <w:sectPr w:rsidR="00207D48" w:rsidRPr="003F684A" w:rsidSect="00C82731">
      <w:headerReference w:type="default" r:id="rId10"/>
      <w:footerReference w:type="default" r:id="rId11"/>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3FECEB" w14:textId="77777777" w:rsidR="00A02D5E" w:rsidRDefault="00A02D5E" w:rsidP="00A1611B">
      <w:r>
        <w:separator/>
      </w:r>
    </w:p>
  </w:endnote>
  <w:endnote w:type="continuationSeparator" w:id="0">
    <w:p w14:paraId="583BC7CB" w14:textId="77777777" w:rsidR="00A02D5E" w:rsidRDefault="00A02D5E"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02966" w14:textId="77777777" w:rsidR="00A1611B" w:rsidRPr="00A1611B" w:rsidRDefault="00A1611B" w:rsidP="00A1611B">
    <w:pPr>
      <w:spacing w:after="0" w:line="240" w:lineRule="auto"/>
      <w:rPr>
        <w:noProof/>
        <w:sz w:val="14"/>
        <w:szCs w:val="14"/>
      </w:rPr>
    </w:pPr>
  </w:p>
  <w:p w14:paraId="540107E5"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2E85E6C4" wp14:editId="61F2A672">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445760"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4698ADDD" w14:textId="77777777" w:rsidR="00A1611B" w:rsidRPr="00A1611B" w:rsidRDefault="00A1611B" w:rsidP="00A1611B">
    <w:pPr>
      <w:spacing w:after="0" w:line="240" w:lineRule="auto"/>
      <w:rPr>
        <w:noProof/>
        <w:sz w:val="14"/>
        <w:szCs w:val="14"/>
      </w:rPr>
    </w:pPr>
  </w:p>
  <w:p w14:paraId="6A52D0AC" w14:textId="77777777" w:rsidR="00C82731" w:rsidRPr="00A1611B" w:rsidRDefault="00C82731" w:rsidP="00A1611B">
    <w:pPr>
      <w:pStyle w:val="Fusszeile"/>
    </w:pPr>
    <w:r w:rsidRPr="00A1611B">
      <w:t>Stand: 0</w:t>
    </w:r>
    <w:r w:rsidR="00693441">
      <w:t>8</w:t>
    </w:r>
    <w:r w:rsidRPr="00A1611B">
      <w:t>.0</w:t>
    </w:r>
    <w:r w:rsidR="00693441">
      <w:t>1</w:t>
    </w:r>
    <w:r w:rsidRPr="00A1611B">
      <w:t>.20</w:t>
    </w:r>
    <w:r w:rsidR="00693441">
      <w:t>20</w:t>
    </w:r>
    <w:r w:rsidRPr="00A1611B">
      <w:rPr>
        <w:color w:val="7F7F7F"/>
      </w:rPr>
      <w:tab/>
    </w:r>
    <w:r w:rsidRPr="00A1611B">
      <w:t xml:space="preserve"> </w:t>
    </w:r>
    <w:r w:rsidRPr="00A1611B">
      <w:rPr>
        <w:color w:val="7F7F7F"/>
      </w:rPr>
      <w:tab/>
    </w:r>
    <w:r w:rsidR="00A1611B">
      <w:t xml:space="preserve">                                                                 </w:t>
    </w:r>
    <w:r w:rsidRPr="00A1611B">
      <w:t xml:space="preserve">Seite </w:t>
    </w:r>
    <w:r w:rsidRPr="00A1611B">
      <w:fldChar w:fldCharType="begin"/>
    </w:r>
    <w:r w:rsidRPr="00A1611B">
      <w:instrText xml:space="preserve"> PAGE </w:instrText>
    </w:r>
    <w:r w:rsidRPr="00A1611B">
      <w:fldChar w:fldCharType="separate"/>
    </w:r>
    <w:r w:rsidRPr="00A1611B">
      <w:t>1</w:t>
    </w:r>
    <w:r w:rsidRPr="00A1611B">
      <w:fldChar w:fldCharType="end"/>
    </w:r>
    <w:r w:rsidRPr="00A1611B">
      <w:t xml:space="preserve"> von </w:t>
    </w:r>
    <w:r w:rsidRPr="00A1611B">
      <w:fldChar w:fldCharType="begin"/>
    </w:r>
    <w:r w:rsidRPr="00A1611B">
      <w:instrText xml:space="preserve"> NUMPAGES  </w:instrText>
    </w:r>
    <w:r w:rsidRPr="00A1611B">
      <w:fldChar w:fldCharType="separate"/>
    </w:r>
    <w:r w:rsidRPr="00A1611B">
      <w:t>1</w:t>
    </w:r>
    <w:r w:rsidRPr="00A1611B">
      <w:fldChar w:fldCharType="end"/>
    </w:r>
  </w:p>
  <w:p w14:paraId="061C4B14" w14:textId="77777777" w:rsidR="00A1611B" w:rsidRPr="00A1611B" w:rsidRDefault="00A1611B" w:rsidP="00A1611B">
    <w:pPr>
      <w:pStyle w:val="Fusszeile"/>
    </w:pPr>
  </w:p>
  <w:p w14:paraId="0678E3A9"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66C27002"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1BD292" w14:textId="77777777" w:rsidR="00A02D5E" w:rsidRDefault="00A02D5E" w:rsidP="00A1611B">
      <w:r>
        <w:separator/>
      </w:r>
    </w:p>
  </w:footnote>
  <w:footnote w:type="continuationSeparator" w:id="0">
    <w:p w14:paraId="60E8EFD8" w14:textId="77777777" w:rsidR="00A02D5E" w:rsidRDefault="00A02D5E"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9B37F"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1AF6F372" wp14:editId="0EE6277F">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4B37FC9B" w14:textId="77777777" w:rsidR="006B78C4" w:rsidRDefault="006B78C4" w:rsidP="00A1611B">
    <w:pPr>
      <w:pStyle w:val="Kopfzeile"/>
    </w:pPr>
  </w:p>
  <w:p w14:paraId="3DE2AEAF" w14:textId="77777777" w:rsidR="006B78C4" w:rsidRDefault="006B78C4" w:rsidP="00A1611B">
    <w:pPr>
      <w:pStyle w:val="Kopfzeile"/>
    </w:pPr>
  </w:p>
  <w:p w14:paraId="3C544A63" w14:textId="77777777" w:rsidR="006B78C4" w:rsidRDefault="006B78C4" w:rsidP="00A1611B">
    <w:pPr>
      <w:pStyle w:val="Kopfzeile"/>
    </w:pPr>
  </w:p>
  <w:p w14:paraId="08B69781" w14:textId="77777777" w:rsidR="006B78C4" w:rsidRDefault="006B78C4" w:rsidP="00A1611B">
    <w:pPr>
      <w:pStyle w:val="Kopfzeile"/>
    </w:pPr>
  </w:p>
  <w:p w14:paraId="5FDED3AD" w14:textId="187955DD" w:rsidR="006B78C4" w:rsidRPr="00BD6574" w:rsidRDefault="00005EB1" w:rsidP="00A1611B">
    <w:pPr>
      <w:pStyle w:val="KopfzeileHeadline"/>
    </w:pPr>
    <w:r>
      <w:t>COMMUNIQUE DE PRESSE</w:t>
    </w:r>
  </w:p>
  <w:p w14:paraId="026B8D4F" w14:textId="77777777" w:rsidR="006B78C4" w:rsidRDefault="006B78C4" w:rsidP="00A1611B">
    <w:pPr>
      <w:pStyle w:val="Kopfzeile"/>
    </w:pPr>
  </w:p>
  <w:p w14:paraId="7318D408" w14:textId="77777777" w:rsidR="006B78C4" w:rsidRDefault="006B78C4" w:rsidP="00A1611B">
    <w:pPr>
      <w:pStyle w:val="Kopfzeile"/>
    </w:pPr>
  </w:p>
  <w:p w14:paraId="1A8B29ED" w14:textId="77777777"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2F5BD3"/>
    <w:multiLevelType w:val="hybridMultilevel"/>
    <w:tmpl w:val="D09685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7638F8"/>
    <w:multiLevelType w:val="hybridMultilevel"/>
    <w:tmpl w:val="0B90F14E"/>
    <w:lvl w:ilvl="0" w:tplc="53A095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C35DF2"/>
    <w:multiLevelType w:val="hybridMultilevel"/>
    <w:tmpl w:val="BF1082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FD9378E"/>
    <w:multiLevelType w:val="hybridMultilevel"/>
    <w:tmpl w:val="1A86DB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A5158C"/>
    <w:multiLevelType w:val="hybridMultilevel"/>
    <w:tmpl w:val="AFCE0710"/>
    <w:lvl w:ilvl="0" w:tplc="2C7E489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6A083A"/>
    <w:multiLevelType w:val="hybridMultilevel"/>
    <w:tmpl w:val="A77838CA"/>
    <w:lvl w:ilvl="0" w:tplc="BA7A880A">
      <w:start w:val="1"/>
      <w:numFmt w:val="bullet"/>
      <w:lvlText w:val=""/>
      <w:lvlJc w:val="left"/>
      <w:pPr>
        <w:ind w:left="720" w:hanging="360"/>
      </w:pPr>
      <w:rPr>
        <w:rFonts w:ascii="Wingdings" w:hAnsi="Wingdings" w:hint="default"/>
        <w:u w:color="009DE0" w:themeColor="accent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C691FB4"/>
    <w:multiLevelType w:val="hybridMultilevel"/>
    <w:tmpl w:val="C20A6E5A"/>
    <w:lvl w:ilvl="0" w:tplc="2C7E489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E33216D"/>
    <w:multiLevelType w:val="hybridMultilevel"/>
    <w:tmpl w:val="0E0E8FFC"/>
    <w:lvl w:ilvl="0" w:tplc="E2A2F29C">
      <w:start w:val="60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5FAB789E"/>
    <w:multiLevelType w:val="hybridMultilevel"/>
    <w:tmpl w:val="224C169C"/>
    <w:lvl w:ilvl="0" w:tplc="2C7E489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4137322"/>
    <w:multiLevelType w:val="hybridMultilevel"/>
    <w:tmpl w:val="6C706C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5D02635"/>
    <w:multiLevelType w:val="hybridMultilevel"/>
    <w:tmpl w:val="0458021E"/>
    <w:lvl w:ilvl="0" w:tplc="2C7E489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0"/>
  </w:num>
  <w:num w:numId="4">
    <w:abstractNumId w:val="9"/>
  </w:num>
  <w:num w:numId="5">
    <w:abstractNumId w:val="8"/>
  </w:num>
  <w:num w:numId="6">
    <w:abstractNumId w:val="1"/>
  </w:num>
  <w:num w:numId="7">
    <w:abstractNumId w:val="0"/>
  </w:num>
  <w:num w:numId="8">
    <w:abstractNumId w:val="5"/>
  </w:num>
  <w:num w:numId="9">
    <w:abstractNumId w:val="2"/>
  </w:num>
  <w:num w:numId="10">
    <w:abstractNumId w:val="7"/>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15F"/>
    <w:rsid w:val="00005EB1"/>
    <w:rsid w:val="00010B27"/>
    <w:rsid w:val="00051241"/>
    <w:rsid w:val="00070F6F"/>
    <w:rsid w:val="0007129F"/>
    <w:rsid w:val="00086730"/>
    <w:rsid w:val="000B283B"/>
    <w:rsid w:val="000B44E6"/>
    <w:rsid w:val="000D7869"/>
    <w:rsid w:val="000F3990"/>
    <w:rsid w:val="00100CE6"/>
    <w:rsid w:val="0010653C"/>
    <w:rsid w:val="00124E1B"/>
    <w:rsid w:val="00155FA5"/>
    <w:rsid w:val="00165813"/>
    <w:rsid w:val="0019178B"/>
    <w:rsid w:val="001C5162"/>
    <w:rsid w:val="001E683B"/>
    <w:rsid w:val="00207D48"/>
    <w:rsid w:val="0021275C"/>
    <w:rsid w:val="00213097"/>
    <w:rsid w:val="00214BE3"/>
    <w:rsid w:val="00216DE4"/>
    <w:rsid w:val="002564BF"/>
    <w:rsid w:val="002B4444"/>
    <w:rsid w:val="002C1B58"/>
    <w:rsid w:val="002E2F29"/>
    <w:rsid w:val="002F4FF7"/>
    <w:rsid w:val="002F5F19"/>
    <w:rsid w:val="00304C95"/>
    <w:rsid w:val="00346F0D"/>
    <w:rsid w:val="0037415F"/>
    <w:rsid w:val="00377D5F"/>
    <w:rsid w:val="003857C3"/>
    <w:rsid w:val="003A23BF"/>
    <w:rsid w:val="003A6E46"/>
    <w:rsid w:val="003B4BE0"/>
    <w:rsid w:val="003E30D0"/>
    <w:rsid w:val="003F684A"/>
    <w:rsid w:val="00430B0B"/>
    <w:rsid w:val="00440F2B"/>
    <w:rsid w:val="00442799"/>
    <w:rsid w:val="004779ED"/>
    <w:rsid w:val="004B349E"/>
    <w:rsid w:val="004B6726"/>
    <w:rsid w:val="004C4E92"/>
    <w:rsid w:val="004C6D87"/>
    <w:rsid w:val="004F0705"/>
    <w:rsid w:val="00502B11"/>
    <w:rsid w:val="0050565F"/>
    <w:rsid w:val="00507B1B"/>
    <w:rsid w:val="005814C0"/>
    <w:rsid w:val="00592CA1"/>
    <w:rsid w:val="00594563"/>
    <w:rsid w:val="005B6DE6"/>
    <w:rsid w:val="005C5896"/>
    <w:rsid w:val="005E387A"/>
    <w:rsid w:val="005F3513"/>
    <w:rsid w:val="00610C87"/>
    <w:rsid w:val="00693441"/>
    <w:rsid w:val="006955B6"/>
    <w:rsid w:val="006B78C4"/>
    <w:rsid w:val="006C6AE2"/>
    <w:rsid w:val="006E2BC6"/>
    <w:rsid w:val="007041ED"/>
    <w:rsid w:val="00720E00"/>
    <w:rsid w:val="00756476"/>
    <w:rsid w:val="00782414"/>
    <w:rsid w:val="0079149C"/>
    <w:rsid w:val="00791C50"/>
    <w:rsid w:val="00792552"/>
    <w:rsid w:val="007C6E88"/>
    <w:rsid w:val="007D15F1"/>
    <w:rsid w:val="007E5CB5"/>
    <w:rsid w:val="007E6CA0"/>
    <w:rsid w:val="00826A98"/>
    <w:rsid w:val="008420EA"/>
    <w:rsid w:val="0087508C"/>
    <w:rsid w:val="008B0A02"/>
    <w:rsid w:val="008F388C"/>
    <w:rsid w:val="00955FFA"/>
    <w:rsid w:val="00974CD8"/>
    <w:rsid w:val="00992BE1"/>
    <w:rsid w:val="00995474"/>
    <w:rsid w:val="009A6CE5"/>
    <w:rsid w:val="009D0A72"/>
    <w:rsid w:val="009D5714"/>
    <w:rsid w:val="00A02963"/>
    <w:rsid w:val="00A02D5E"/>
    <w:rsid w:val="00A1611B"/>
    <w:rsid w:val="00A23D8E"/>
    <w:rsid w:val="00A35951"/>
    <w:rsid w:val="00AC080F"/>
    <w:rsid w:val="00B205DB"/>
    <w:rsid w:val="00B60D2C"/>
    <w:rsid w:val="00BD097C"/>
    <w:rsid w:val="00BD6574"/>
    <w:rsid w:val="00BE5D7F"/>
    <w:rsid w:val="00C135DE"/>
    <w:rsid w:val="00C8166F"/>
    <w:rsid w:val="00C82731"/>
    <w:rsid w:val="00C83E1A"/>
    <w:rsid w:val="00C92D30"/>
    <w:rsid w:val="00C93794"/>
    <w:rsid w:val="00CA4EB8"/>
    <w:rsid w:val="00CB09DF"/>
    <w:rsid w:val="00CC3C65"/>
    <w:rsid w:val="00CD306B"/>
    <w:rsid w:val="00CE4FF5"/>
    <w:rsid w:val="00CF08AA"/>
    <w:rsid w:val="00D130D4"/>
    <w:rsid w:val="00D505E0"/>
    <w:rsid w:val="00D520FF"/>
    <w:rsid w:val="00D56D5D"/>
    <w:rsid w:val="00D844A5"/>
    <w:rsid w:val="00D87711"/>
    <w:rsid w:val="00DF6847"/>
    <w:rsid w:val="00E24346"/>
    <w:rsid w:val="00E36593"/>
    <w:rsid w:val="00EB69BA"/>
    <w:rsid w:val="00EC067F"/>
    <w:rsid w:val="00EC25CB"/>
    <w:rsid w:val="00EC704D"/>
    <w:rsid w:val="00ED3E57"/>
    <w:rsid w:val="00EF7AD4"/>
    <w:rsid w:val="00F131E0"/>
    <w:rsid w:val="00F41C55"/>
    <w:rsid w:val="00F52383"/>
    <w:rsid w:val="00FC1C70"/>
    <w:rsid w:val="00FE25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F50512"/>
  <w15:docId w15:val="{0A9846FC-DE33-4DD7-8C45-581FE5515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6726"/>
    <w:pPr>
      <w:jc w:val="both"/>
    </w:pPr>
    <w:rPr>
      <w:rFonts w:ascii="Arial" w:hAnsi="Arial" w:cs="Arial"/>
    </w:rPr>
  </w:style>
  <w:style w:type="paragraph" w:styleId="berschrift1">
    <w:name w:val="heading 1"/>
    <w:basedOn w:val="Standard"/>
    <w:next w:val="Standard"/>
    <w:link w:val="berschrift1Zchn"/>
    <w:uiPriority w:val="9"/>
    <w:qFormat/>
    <w:rsid w:val="004B6726"/>
    <w:pPr>
      <w:spacing w:after="0"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4B6726"/>
    <w:rPr>
      <w:rFonts w:ascii="Arial" w:hAnsi="Arial" w:cs="Arial"/>
      <w:b/>
      <w:sz w:val="28"/>
      <w:szCs w:val="28"/>
    </w:rPr>
  </w:style>
  <w:style w:type="paragraph" w:styleId="Untertitel">
    <w:name w:val="Subtitle"/>
    <w:basedOn w:val="Standard"/>
    <w:next w:val="Standard"/>
    <w:link w:val="UntertitelZchn"/>
    <w:uiPriority w:val="11"/>
    <w:qFormat/>
    <w:rsid w:val="004B6726"/>
    <w:pPr>
      <w:spacing w:after="0" w:line="360" w:lineRule="auto"/>
      <w:ind w:right="1418"/>
    </w:pPr>
    <w:rPr>
      <w:b/>
    </w:rPr>
  </w:style>
  <w:style w:type="character" w:customStyle="1" w:styleId="UntertitelZchn">
    <w:name w:val="Untertitel Zchn"/>
    <w:basedOn w:val="Absatz-Standardschriftart"/>
    <w:link w:val="Untertitel"/>
    <w:uiPriority w:val="11"/>
    <w:rsid w:val="004B6726"/>
    <w:rPr>
      <w:rFonts w:ascii="Arial" w:hAnsi="Arial" w:cs="Arial"/>
      <w:b/>
    </w:rPr>
  </w:style>
  <w:style w:type="paragraph" w:customStyle="1" w:styleId="Bildunterschrift">
    <w:name w:val="Bildunterschrift"/>
    <w:basedOn w:val="StandardWeb"/>
    <w:link w:val="BildunterschriftZchn"/>
    <w:qFormat/>
    <w:rsid w:val="004B6726"/>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4B6726"/>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4B6726"/>
    <w:rPr>
      <w:rFonts w:ascii="Arial" w:eastAsia="Times New Roman" w:hAnsi="Arial" w:cs="Arial"/>
      <w:i/>
      <w:sz w:val="18"/>
      <w:szCs w:val="18"/>
      <w:lang w:eastAsia="de-DE"/>
    </w:rPr>
  </w:style>
  <w:style w:type="paragraph" w:customStyle="1" w:styleId="Fusszeile">
    <w:name w:val="Fusszeile"/>
    <w:basedOn w:val="Standard"/>
    <w:link w:val="FusszeileZchn"/>
    <w:qFormat/>
    <w:rsid w:val="004B6726"/>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4B6726"/>
    <w:rPr>
      <w:rFonts w:ascii="Arial" w:hAnsi="Arial" w:cs="Arial"/>
    </w:rPr>
  </w:style>
  <w:style w:type="character" w:customStyle="1" w:styleId="FusszeileZchn">
    <w:name w:val="Fusszeile Zchn"/>
    <w:basedOn w:val="Absatz-Standardschriftart"/>
    <w:link w:val="Fusszeile"/>
    <w:rsid w:val="004B6726"/>
    <w:rPr>
      <w:rFonts w:ascii="Arial" w:hAnsi="Arial" w:cs="Arial"/>
      <w:noProof/>
      <w:sz w:val="14"/>
      <w:szCs w:val="14"/>
    </w:rPr>
  </w:style>
  <w:style w:type="paragraph" w:customStyle="1" w:styleId="KopfzeileHeadline">
    <w:name w:val="Kopfzeile Headline"/>
    <w:basedOn w:val="Kopfzeile"/>
    <w:link w:val="KopfzeileHeadlineZchn"/>
    <w:qFormat/>
    <w:rsid w:val="004B6726"/>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4B6726"/>
    <w:rPr>
      <w:rFonts w:ascii="Arial" w:hAnsi="Arial" w:cs="Arial"/>
      <w:b/>
      <w:color w:val="009DE0"/>
      <w:sz w:val="32"/>
      <w:szCs w:val="32"/>
    </w:rPr>
  </w:style>
  <w:style w:type="paragraph" w:styleId="Listenabsatz">
    <w:name w:val="List Paragraph"/>
    <w:basedOn w:val="Standard"/>
    <w:uiPriority w:val="34"/>
    <w:qFormat/>
    <w:rsid w:val="003B4BE0"/>
    <w:pPr>
      <w:ind w:left="720"/>
      <w:contextualSpacing/>
    </w:pPr>
  </w:style>
  <w:style w:type="character" w:customStyle="1" w:styleId="st">
    <w:name w:val="st"/>
    <w:basedOn w:val="Absatz-Standardschriftart"/>
    <w:rsid w:val="002564BF"/>
  </w:style>
  <w:style w:type="character" w:styleId="NichtaufgelsteErwhnung">
    <w:name w:val="Unresolved Mention"/>
    <w:basedOn w:val="Absatz-Standardschriftart"/>
    <w:uiPriority w:val="99"/>
    <w:semiHidden/>
    <w:unhideWhenUsed/>
    <w:rsid w:val="002127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679294">
      <w:bodyDiv w:val="1"/>
      <w:marLeft w:val="0"/>
      <w:marRight w:val="0"/>
      <w:marTop w:val="0"/>
      <w:marBottom w:val="0"/>
      <w:divBdr>
        <w:top w:val="none" w:sz="0" w:space="0" w:color="auto"/>
        <w:left w:val="none" w:sz="0" w:space="0" w:color="auto"/>
        <w:bottom w:val="none" w:sz="0" w:space="0" w:color="auto"/>
        <w:right w:val="none" w:sz="0" w:space="0" w:color="auto"/>
      </w:divBdr>
    </w:div>
    <w:div w:id="638459498">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257245762">
      <w:bodyDiv w:val="1"/>
      <w:marLeft w:val="0"/>
      <w:marRight w:val="0"/>
      <w:marTop w:val="0"/>
      <w:marBottom w:val="0"/>
      <w:divBdr>
        <w:top w:val="none" w:sz="0" w:space="0" w:color="auto"/>
        <w:left w:val="none" w:sz="0" w:space="0" w:color="auto"/>
        <w:bottom w:val="none" w:sz="0" w:space="0" w:color="auto"/>
        <w:right w:val="none" w:sz="0" w:space="0" w:color="auto"/>
      </w:divBdr>
    </w:div>
    <w:div w:id="1634678714">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eflow.com/fr/produits/doseur-monocomposa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6C8C1FF-35B7-46E4-9B89-9650238D7048}">
  <ds:schemaRefs>
    <ds:schemaRef ds:uri="http://schemas.openxmlformats.org/officeDocument/2006/bibliography"/>
  </ds:schemaRefs>
</ds:datastoreItem>
</file>

<file path=customXml/itemProps2.xml><?xml version="1.0" encoding="utf-8"?>
<ds:datastoreItem xmlns:ds="http://schemas.openxmlformats.org/officeDocument/2006/customXml" ds:itemID="{F6666024-74F4-468D-BED3-B1FB47E8A003}"/>
</file>

<file path=customXml/itemProps3.xml><?xml version="1.0" encoding="utf-8"?>
<ds:datastoreItem xmlns:ds="http://schemas.openxmlformats.org/officeDocument/2006/customXml" ds:itemID="{BCBD619A-011B-49DA-BD6C-7525FC050C75}"/>
</file>

<file path=customXml/itemProps4.xml><?xml version="1.0" encoding="utf-8"?>
<ds:datastoreItem xmlns:ds="http://schemas.openxmlformats.org/officeDocument/2006/customXml" ds:itemID="{97F0BAD4-4603-4F42-916E-2ECDDEFB425D}"/>
</file>

<file path=docProps/app.xml><?xml version="1.0" encoding="utf-8"?>
<Properties xmlns="http://schemas.openxmlformats.org/officeDocument/2006/extended-properties" xmlns:vt="http://schemas.openxmlformats.org/officeDocument/2006/docPropsVTypes">
  <Template>Normal.dotm</Template>
  <TotalTime>0</TotalTime>
  <Pages>3</Pages>
  <Words>579</Words>
  <Characters>3649</Characters>
  <Application>Microsoft Office Word</Application>
  <DocSecurity>4</DocSecurity>
  <Lines>30</Lines>
  <Paragraphs>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Hochholzer Thomas</dc:creator>
  <cp:lastModifiedBy>Hintereder, Melanie</cp:lastModifiedBy>
  <cp:revision>2</cp:revision>
  <dcterms:created xsi:type="dcterms:W3CDTF">2020-12-10T10:34:00Z</dcterms:created>
  <dcterms:modified xsi:type="dcterms:W3CDTF">2020-12-10T10:34:00Z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