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E0FF4" w14:textId="77777777" w:rsidR="000229A2" w:rsidRDefault="000229A2" w:rsidP="000229A2">
      <w:pPr>
        <w:pStyle w:val="berschrift1"/>
        <w:rPr>
          <w:lang w:val="fr-FR"/>
        </w:rPr>
      </w:pPr>
      <w:bookmarkStart w:id="0" w:name="_Hlk517093228"/>
      <w:r>
        <w:rPr>
          <w:lang w:val="fr-FR"/>
        </w:rPr>
        <w:t>Le premier eco-DUO450 utilisé depuis près de 10 ans</w:t>
      </w:r>
    </w:p>
    <w:p w14:paraId="1A26B1C7" w14:textId="77777777" w:rsidR="000229A2" w:rsidRDefault="0043680E" w:rsidP="000229A2">
      <w:pPr>
        <w:pStyle w:val="Untertitel"/>
        <w:rPr>
          <w:lang w:val="fr-FR"/>
        </w:rPr>
      </w:pPr>
      <w:r w:rsidRPr="000229A2">
        <w:rPr>
          <w:lang w:val="fr-FR"/>
        </w:rPr>
        <w:br/>
      </w:r>
      <w:r w:rsidR="000229A2">
        <w:rPr>
          <w:lang w:val="fr-FR"/>
        </w:rPr>
        <w:t>Une pompe de dosage bi-composants 2K démontre sa fiabilité pour le dosage de petites quantités chez SebaKMT</w:t>
      </w:r>
    </w:p>
    <w:p w14:paraId="75EA36F5" w14:textId="597ECCB3" w:rsidR="0043680E" w:rsidRPr="000229A2" w:rsidRDefault="0043680E" w:rsidP="000229A2">
      <w:pPr>
        <w:pStyle w:val="Untertitel"/>
        <w:tabs>
          <w:tab w:val="left" w:pos="5445"/>
        </w:tabs>
        <w:rPr>
          <w:lang w:val="fr-FR"/>
        </w:rPr>
      </w:pPr>
    </w:p>
    <w:p w14:paraId="1D41C745" w14:textId="77777777" w:rsidR="000229A2" w:rsidRDefault="000229A2" w:rsidP="000229A2">
      <w:pPr>
        <w:pStyle w:val="Presse-Fliesstext"/>
        <w:rPr>
          <w:lang w:val="fr-FR"/>
        </w:rPr>
      </w:pPr>
      <w:r>
        <w:rPr>
          <w:lang w:val="fr-FR"/>
        </w:rPr>
        <w:t>Dans l'usine de production de SebaKMT à Baunach, une pompe de dosage eco-DUO de preeflow, le spécialiste du microdosage, a permis d’assurer dès les premières heures un dosage précis. Le premier doseur eco-DUO450 bi-composants a été officiellement vendu et livré en 2011 avec le numéro de série 0001. Le dosage précis du silicone haute performance Wacker SilGel 612, protège les composants de la corrosion : l'usine de Baunach fabrique, par exemple, des enregistreurs de bruit pour la surveillance acoustique des zones d'approvisionnement en eau potable et des microphones de sol pour la localisation des défauts de câbles dans le réseau moyenne tension. SebaKMT est membre du groupe britannique Megger, un des principaux fournisseurs mondiaux d'équipements de mesure et de test pour l'industrie de l'énergie.</w:t>
      </w:r>
    </w:p>
    <w:p w14:paraId="7F86534A" w14:textId="77777777" w:rsidR="000229A2" w:rsidRDefault="000229A2" w:rsidP="000229A2">
      <w:pPr>
        <w:pStyle w:val="Presse-Fliesstext"/>
        <w:rPr>
          <w:lang w:val="fr-FR"/>
        </w:rPr>
      </w:pPr>
      <w:r>
        <w:rPr>
          <w:lang w:val="fr-FR"/>
        </w:rPr>
        <w:t>L'enregistreur de bruit de SebaKMT est un dispositif de surveillance acoustique des réseaux de pipelines et est, par exemple, capable de transmettre des données de mesure par GSM directement au centre de contrôle en utilisant un mode réseau. Cela permet une recherche ciblée des fuites aux endroits où la probabilité de fuite est la plus élevée. Cette méthode efficace de pré-localisation permet au fournisseur d'eau potable d'économiser du temps et de l'argent.</w:t>
      </w:r>
    </w:p>
    <w:p w14:paraId="5F364B0C" w14:textId="77777777" w:rsidR="000229A2" w:rsidRDefault="000229A2" w:rsidP="000229A2">
      <w:pPr>
        <w:pStyle w:val="Presse-Fliesstext"/>
        <w:rPr>
          <w:lang w:val="fr-FR"/>
        </w:rPr>
      </w:pPr>
      <w:r>
        <w:rPr>
          <w:lang w:val="fr-FR"/>
        </w:rPr>
        <w:t>Le microphone de sol fait partie de l'ensemble digiPHONE+ NT ; un récepteur de pré-localisation complet. SebaKMT a combiné deux systèmes en un seul appareil : premièrement, un microphone de sol pour localiser les défauts d'embrasement dans les câbles souterrains et deuxièmement, un localisateur de défaut de terre pour localiser les défauts de gaine dans les câbles moyenne tension PE et XLPE à isolation plastique.</w:t>
      </w:r>
    </w:p>
    <w:p w14:paraId="40E9ED4A" w14:textId="77777777" w:rsidR="000229A2" w:rsidRDefault="000229A2" w:rsidP="000229A2">
      <w:pPr>
        <w:pStyle w:val="Presse-Fliesstext"/>
        <w:rPr>
          <w:lang w:val="fr-FR"/>
        </w:rPr>
      </w:pPr>
      <w:r>
        <w:rPr>
          <w:lang w:val="fr-FR"/>
        </w:rPr>
        <w:t>Les deux processus sont mis en œuvre dans une application de dosage semi-automatique. Les défis suivants sont posés au système de dosage : afin d'obtenir les rapports de mélange requis des deux composants de la coulée et des résultats reproductibles, le dosage doit être effectué avec une grande précision. Malgré des temps d'arrêt fréquents et plus longs liés à la production, les quantités définies précédemment doivent être appliquées de manière répétée et précise. Et là l'éco-DUO450 a démontré ses performances dès le départ.</w:t>
      </w:r>
    </w:p>
    <w:p w14:paraId="6941193B" w14:textId="77777777" w:rsidR="000229A2" w:rsidRDefault="000229A2" w:rsidP="000229A2">
      <w:pPr>
        <w:pStyle w:val="Presse-Fliesstext"/>
        <w:rPr>
          <w:lang w:val="fr-FR"/>
        </w:rPr>
      </w:pPr>
      <w:r>
        <w:rPr>
          <w:lang w:val="fr-FR"/>
        </w:rPr>
        <w:lastRenderedPageBreak/>
        <w:t>Pendant toutes ces années, il n'a été envoyé qu'une seule fois au centre de service preeflow pour un contrôle préventif. Pendant un arrêt prolongé de la production de SebaKMT, il a été nettoyé et entretenu, et les joints ont été remplacés. Après le renvoi de la pompe de dosage bi-composants, les opérations ont pu reprendre comme prévu.</w:t>
      </w:r>
    </w:p>
    <w:p w14:paraId="0171D51D" w14:textId="77777777" w:rsidR="000229A2" w:rsidRDefault="000229A2" w:rsidP="000229A2">
      <w:pPr>
        <w:pStyle w:val="Presse-Fliesstext"/>
        <w:rPr>
          <w:lang w:val="fr-FR"/>
        </w:rPr>
      </w:pPr>
      <w:r>
        <w:rPr>
          <w:lang w:val="fr-FR"/>
        </w:rPr>
        <w:t xml:space="preserve">Petra Hofmann, responsable qualité chez </w:t>
      </w:r>
      <w:r>
        <w:rPr>
          <w:i/>
          <w:iCs/>
          <w:lang w:val="fr-FR"/>
        </w:rPr>
        <w:t>Seba Dynatronic Mess- und Ortungstechnik GmbH</w:t>
      </w:r>
      <w:r>
        <w:rPr>
          <w:lang w:val="fr-FR"/>
        </w:rPr>
        <w:t xml:space="preserve"> à Baunach, parle ainsi de la pompe de dosage bi-composants et de la coopération avec preeflow : "</w:t>
      </w:r>
      <w:r>
        <w:rPr>
          <w:i/>
          <w:iCs/>
          <w:lang w:val="fr-FR"/>
        </w:rPr>
        <w:t>Nous sommes très satisfaits des performances de l'éco-DUO450. Le système répond de manière fiable à nos exigences depuis de nombreuses années et ce avec un minimum de maintenance</w:t>
      </w:r>
      <w:r>
        <w:rPr>
          <w:lang w:val="fr-FR"/>
        </w:rPr>
        <w:t>".</w:t>
      </w:r>
    </w:p>
    <w:p w14:paraId="7A3AC8B9" w14:textId="77777777" w:rsidR="00FC356D" w:rsidRPr="000229A2" w:rsidRDefault="00FC356D" w:rsidP="00A32B7C">
      <w:pPr>
        <w:rPr>
          <w:lang w:val="fr-FR"/>
        </w:rPr>
      </w:pPr>
    </w:p>
    <w:p w14:paraId="3C335BF1" w14:textId="51ED4920" w:rsidR="00853652" w:rsidRPr="00615007" w:rsidRDefault="00094746" w:rsidP="00A32B7C">
      <w:pPr>
        <w:rPr>
          <w:lang w:val="fr-FR"/>
        </w:rPr>
      </w:pPr>
      <w:r w:rsidRPr="00615007">
        <w:rPr>
          <w:lang w:val="fr-FR"/>
        </w:rPr>
        <w:t xml:space="preserve">2,779 </w:t>
      </w:r>
      <w:r w:rsidR="00615007" w:rsidRPr="003C5053">
        <w:rPr>
          <w:lang w:val="fr-FR"/>
        </w:rPr>
        <w:t xml:space="preserve">caractères, y compris les espaces. Réimpression gratuite. Copie </w:t>
      </w:r>
      <w:r w:rsidR="00615007">
        <w:rPr>
          <w:lang w:val="fr-FR"/>
        </w:rPr>
        <w:t xml:space="preserve">sur </w:t>
      </w:r>
      <w:r w:rsidR="00615007" w:rsidRPr="003C5053">
        <w:rPr>
          <w:lang w:val="fr-FR"/>
        </w:rPr>
        <w:t>demande.</w:t>
      </w:r>
    </w:p>
    <w:p w14:paraId="195AF469" w14:textId="77777777" w:rsidR="00853652" w:rsidRPr="00615007" w:rsidRDefault="00853652" w:rsidP="00A32B7C">
      <w:pPr>
        <w:rPr>
          <w:lang w:val="fr-FR"/>
        </w:rPr>
      </w:pPr>
    </w:p>
    <w:p w14:paraId="515F1B0A" w14:textId="77777777" w:rsidR="00853652" w:rsidRPr="00615007" w:rsidRDefault="00853652" w:rsidP="00A32B7C">
      <w:pPr>
        <w:rPr>
          <w:lang w:val="fr-FR"/>
        </w:rPr>
      </w:pPr>
    </w:p>
    <w:p w14:paraId="489D1FA1" w14:textId="77777777" w:rsidR="00A32B7C" w:rsidRPr="00615007" w:rsidRDefault="00A32B7C" w:rsidP="00A32B7C">
      <w:pPr>
        <w:rPr>
          <w:lang w:val="fr-FR"/>
        </w:rPr>
      </w:pPr>
    </w:p>
    <w:p w14:paraId="4ED34AE4" w14:textId="77777777" w:rsidR="00A32B7C" w:rsidRPr="00615007" w:rsidRDefault="00A32B7C" w:rsidP="00A32B7C">
      <w:pPr>
        <w:pStyle w:val="Untertitel"/>
        <w:rPr>
          <w:lang w:val="fr-FR"/>
        </w:rPr>
      </w:pPr>
      <w:r w:rsidRPr="00615007">
        <w:rPr>
          <w:lang w:val="fr-FR"/>
        </w:rPr>
        <w:t>Pictures:</w:t>
      </w:r>
    </w:p>
    <w:p w14:paraId="7F3F2021" w14:textId="77777777" w:rsidR="0043680E" w:rsidRPr="00757A7E" w:rsidRDefault="0043680E" w:rsidP="0043680E">
      <w:pPr>
        <w:pStyle w:val="Untertitel"/>
      </w:pPr>
      <w:r w:rsidRPr="00757A7E">
        <w:rPr>
          <w:noProof/>
        </w:rPr>
        <w:drawing>
          <wp:inline distT="0" distB="0" distL="0" distR="0" wp14:anchorId="4804F376" wp14:editId="00FCD46E">
            <wp:extent cx="1838325" cy="1545179"/>
            <wp:effectExtent l="19050" t="19050" r="9525"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06" cy="1553148"/>
                    </a:xfrm>
                    <a:prstGeom prst="rect">
                      <a:avLst/>
                    </a:prstGeom>
                    <a:noFill/>
                    <a:ln>
                      <a:solidFill>
                        <a:schemeClr val="accent1"/>
                      </a:solidFill>
                    </a:ln>
                  </pic:spPr>
                </pic:pic>
              </a:graphicData>
            </a:graphic>
          </wp:inline>
        </w:drawing>
      </w:r>
    </w:p>
    <w:p w14:paraId="7E94107D" w14:textId="7BA119E5" w:rsidR="0043680E" w:rsidRDefault="005F128E" w:rsidP="0043680E">
      <w:pPr>
        <w:pStyle w:val="Bildunterschrift"/>
        <w:rPr>
          <w:lang w:val="fr-FR"/>
        </w:rPr>
      </w:pPr>
      <w:r>
        <w:rPr>
          <w:lang w:val="fr-FR"/>
        </w:rPr>
        <w:t>P</w:t>
      </w:r>
      <w:r w:rsidRPr="005F128E">
        <w:rPr>
          <w:lang w:val="fr-FR"/>
        </w:rPr>
        <w:t>oste de dosage semi-automatique</w:t>
      </w:r>
    </w:p>
    <w:p w14:paraId="6E6B632B" w14:textId="77777777" w:rsidR="005F128E" w:rsidRPr="005F128E" w:rsidRDefault="005F128E" w:rsidP="0043680E">
      <w:pPr>
        <w:pStyle w:val="Bildunterschrift"/>
        <w:rPr>
          <w:lang w:val="fr-FR"/>
        </w:rPr>
      </w:pPr>
    </w:p>
    <w:p w14:paraId="1149791C" w14:textId="77777777" w:rsidR="0043680E" w:rsidRPr="005F128E" w:rsidRDefault="0043680E" w:rsidP="0043680E">
      <w:pPr>
        <w:pStyle w:val="Bildunterschrift"/>
        <w:rPr>
          <w:lang w:val="fr-FR"/>
        </w:rPr>
      </w:pPr>
      <w:r w:rsidRPr="00757A7E">
        <w:rPr>
          <w:noProof/>
        </w:rPr>
        <w:drawing>
          <wp:inline distT="0" distB="0" distL="0" distR="0" wp14:anchorId="7E6E3C46" wp14:editId="660B5219">
            <wp:extent cx="1809750" cy="1357312"/>
            <wp:effectExtent l="19050" t="19050" r="19050"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9750" cy="1357312"/>
                    </a:xfrm>
                    <a:prstGeom prst="rect">
                      <a:avLst/>
                    </a:prstGeom>
                    <a:ln>
                      <a:solidFill>
                        <a:schemeClr val="accent1"/>
                      </a:solidFill>
                    </a:ln>
                  </pic:spPr>
                </pic:pic>
              </a:graphicData>
            </a:graphic>
          </wp:inline>
        </w:drawing>
      </w:r>
      <w:r w:rsidRPr="005F128E">
        <w:rPr>
          <w:lang w:val="fr-FR"/>
        </w:rPr>
        <w:t xml:space="preserve"> -&gt; </w:t>
      </w:r>
      <w:r w:rsidRPr="00757A7E">
        <w:rPr>
          <w:noProof/>
        </w:rPr>
        <w:drawing>
          <wp:inline distT="0" distB="0" distL="0" distR="0" wp14:anchorId="5B597A72" wp14:editId="12BB60CD">
            <wp:extent cx="1194105" cy="1357312"/>
            <wp:effectExtent l="19050" t="19050" r="25400" b="146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4105" cy="1357312"/>
                    </a:xfrm>
                    <a:prstGeom prst="rect">
                      <a:avLst/>
                    </a:prstGeom>
                    <a:ln>
                      <a:solidFill>
                        <a:schemeClr val="accent1"/>
                      </a:solidFill>
                    </a:ln>
                  </pic:spPr>
                </pic:pic>
              </a:graphicData>
            </a:graphic>
          </wp:inline>
        </w:drawing>
      </w:r>
    </w:p>
    <w:p w14:paraId="09D8E927" w14:textId="07E35FCC" w:rsidR="0043680E" w:rsidRPr="005F128E" w:rsidRDefault="005F128E" w:rsidP="0043680E">
      <w:pPr>
        <w:pStyle w:val="Bildunterschrift"/>
        <w:rPr>
          <w:lang w:val="fr-FR"/>
        </w:rPr>
      </w:pPr>
      <w:r w:rsidRPr="005F128E">
        <w:rPr>
          <w:lang w:val="fr-FR"/>
        </w:rPr>
        <w:t>Sebalog N-3 : Enregistreur de bruit compatible avec le réseau pour la surveillance acoustique des zones</w:t>
      </w:r>
    </w:p>
    <w:p w14:paraId="61753B95" w14:textId="77777777" w:rsidR="0043680E" w:rsidRPr="00757A7E" w:rsidRDefault="0043680E" w:rsidP="0043680E">
      <w:pPr>
        <w:pStyle w:val="Bildunterschrift"/>
      </w:pPr>
      <w:r w:rsidRPr="00757A7E">
        <w:rPr>
          <w:noProof/>
        </w:rPr>
        <w:lastRenderedPageBreak/>
        <w:drawing>
          <wp:inline distT="0" distB="0" distL="0" distR="0" wp14:anchorId="397D55D7" wp14:editId="1852E9E2">
            <wp:extent cx="1809750" cy="1630455"/>
            <wp:effectExtent l="19050" t="19050" r="19050" b="273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9750" cy="1630455"/>
                    </a:xfrm>
                    <a:prstGeom prst="rect">
                      <a:avLst/>
                    </a:prstGeom>
                    <a:ln>
                      <a:solidFill>
                        <a:schemeClr val="accent1"/>
                      </a:solidFill>
                    </a:ln>
                  </pic:spPr>
                </pic:pic>
              </a:graphicData>
            </a:graphic>
          </wp:inline>
        </w:drawing>
      </w:r>
      <w:r>
        <w:t xml:space="preserve"> -&gt; </w:t>
      </w:r>
      <w:r w:rsidRPr="00757A7E">
        <w:rPr>
          <w:noProof/>
        </w:rPr>
        <w:drawing>
          <wp:inline distT="0" distB="0" distL="0" distR="0" wp14:anchorId="3FE32F3C" wp14:editId="0997EA1D">
            <wp:extent cx="556668" cy="1630455"/>
            <wp:effectExtent l="19050" t="19050" r="15240" b="273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6668" cy="1630455"/>
                    </a:xfrm>
                    <a:prstGeom prst="rect">
                      <a:avLst/>
                    </a:prstGeom>
                    <a:ln>
                      <a:solidFill>
                        <a:schemeClr val="accent1"/>
                      </a:solidFill>
                    </a:ln>
                  </pic:spPr>
                </pic:pic>
              </a:graphicData>
            </a:graphic>
          </wp:inline>
        </w:drawing>
      </w:r>
    </w:p>
    <w:p w14:paraId="054DD1B8" w14:textId="01DEE384" w:rsidR="001C44D2" w:rsidRDefault="005F128E" w:rsidP="005F128E">
      <w:pPr>
        <w:pStyle w:val="Bildunterschrift"/>
        <w:rPr>
          <w:lang w:val="fr-FR"/>
        </w:rPr>
      </w:pPr>
      <w:r w:rsidRPr="005F128E">
        <w:rPr>
          <w:lang w:val="fr-FR"/>
        </w:rPr>
        <w:t>digiPHONE+ NT Set :  Set complet récepteur et suivi</w:t>
      </w:r>
    </w:p>
    <w:p w14:paraId="5ECAF68C" w14:textId="2B615086" w:rsidR="005F128E" w:rsidRDefault="005F128E" w:rsidP="001C44D2">
      <w:pPr>
        <w:rPr>
          <w:lang w:val="fr-FR"/>
        </w:rPr>
      </w:pPr>
    </w:p>
    <w:p w14:paraId="4F5AF23B" w14:textId="77777777" w:rsidR="005F128E" w:rsidRPr="005F128E" w:rsidRDefault="005F128E" w:rsidP="001C44D2">
      <w:pPr>
        <w:rPr>
          <w:lang w:val="fr-FR" w:eastAsia="de-DE"/>
        </w:rPr>
      </w:pPr>
    </w:p>
    <w:p w14:paraId="2B1938DC" w14:textId="77777777" w:rsidR="00EE763E" w:rsidRPr="003C5053" w:rsidRDefault="00EE763E" w:rsidP="00EE763E">
      <w:pPr>
        <w:pStyle w:val="Untertitel"/>
        <w:rPr>
          <w:lang w:val="fr-FR"/>
        </w:rPr>
      </w:pPr>
      <w:r w:rsidRPr="003C5053">
        <w:rPr>
          <w:lang w:val="fr-FR"/>
        </w:rPr>
        <w:t>Microdosage à la perfection!</w:t>
      </w:r>
    </w:p>
    <w:p w14:paraId="01A727D1" w14:textId="77777777" w:rsidR="00EE763E" w:rsidRPr="00A74026" w:rsidRDefault="00EE763E" w:rsidP="00EE763E">
      <w:pPr>
        <w:rPr>
          <w:lang w:val="fr-FR"/>
        </w:rPr>
      </w:pPr>
      <w:r w:rsidRPr="003C5053">
        <w:rPr>
          <w:lang w:val="fr-FR"/>
        </w:rPr>
        <w:t xml:space="preserve">preeflow® est une marque de ViscoTec Pumpen- u. Dosiertechnik GmbH. ViscoTec s'occupe principalement des systèmes nécessaires au transport, au dosage, à l'application, au remplissage et à la vidange de fluides de moyenne à haute viscosité. Le siège du leader technologique du marché se trouve à Töging (Haute-Bavière, près de Munich). En outre, ViscoTec possède des filiales aux États-Unis, en Chine, à Singapour, en Inde et en France et emploie environ 260 personnes dans le monde entier. Créé en 2008, preeflow® assure une distribution précise et purement volumétrique de liquides dans les plus petites quantités. Les produits preeflow® sont appréciés dans le monde entier, sans oublier leur qualité unique - Made in Germany. </w:t>
      </w:r>
      <w:r w:rsidRPr="00A74026">
        <w:rPr>
          <w:lang w:val="fr-FR"/>
        </w:rPr>
        <w:t>Un réseau de distribution international offre un service et un soutien professionnels dans tous les domaines des systèmes de distribution Preeflow®. Les différents domaines d'application comprennent, entre autres, l'industrie automobile, électrique et électronique, la technologie médicale, l'aérospatiale, les énergies renouvelables, la technologie électrique et hybride et la technologie des mesures et des capteurs. L'ensemble des produits de la gamme preeflow® peut être facilement intégré grâce à des interfaces standardisées. Dans le monde entier, plus de 20 000 systèmes preeflow® fonctionnent dans des applications de distribution semi- ou entièrement automatisées, à l'entière satisfaction de l'utilisateur et du client.</w:t>
      </w:r>
    </w:p>
    <w:p w14:paraId="47B0B8BE" w14:textId="77777777" w:rsidR="00FC356D" w:rsidRPr="00EE763E" w:rsidRDefault="00FC356D" w:rsidP="00A32B7C">
      <w:pPr>
        <w:rPr>
          <w:lang w:val="fr-FR"/>
        </w:rPr>
      </w:pPr>
    </w:p>
    <w:p w14:paraId="61AC1C79" w14:textId="77777777" w:rsidR="00B1362C" w:rsidRPr="00EE763E" w:rsidRDefault="00B1362C" w:rsidP="00A32B7C">
      <w:pPr>
        <w:rPr>
          <w:lang w:val="fr-FR"/>
        </w:rPr>
      </w:pPr>
    </w:p>
    <w:p w14:paraId="22CD4ACA" w14:textId="77777777" w:rsidR="00BD097C" w:rsidRPr="002974AD" w:rsidRDefault="00BD097C" w:rsidP="00A32B7C">
      <w:pPr>
        <w:pStyle w:val="Untertitel"/>
      </w:pPr>
      <w:r w:rsidRPr="002974AD">
        <w:t>Press</w:t>
      </w:r>
      <w:r w:rsidR="006C0AC6" w:rsidRPr="002974AD">
        <w:t xml:space="preserve"> contact</w:t>
      </w:r>
      <w:r w:rsidRPr="002974AD">
        <w:t>:</w:t>
      </w:r>
    </w:p>
    <w:p w14:paraId="38BAF263" w14:textId="77777777" w:rsidR="00BD097C" w:rsidRPr="002974AD" w:rsidRDefault="00BD097C" w:rsidP="00A32B7C"/>
    <w:p w14:paraId="76F192FB" w14:textId="77777777" w:rsidR="00BD097C" w:rsidRPr="002974AD" w:rsidRDefault="00BD097C" w:rsidP="00A32B7C">
      <w:r w:rsidRPr="002974AD">
        <w:t xml:space="preserve">Thomas Diringer, </w:t>
      </w:r>
      <w:r w:rsidR="009C4840" w:rsidRPr="002974AD">
        <w:t>Manager Business Unit Components &amp; Devices</w:t>
      </w:r>
    </w:p>
    <w:p w14:paraId="2CA0B147" w14:textId="77777777" w:rsidR="00BD097C" w:rsidRPr="0024178A" w:rsidRDefault="00BD097C" w:rsidP="00A32B7C">
      <w:pPr>
        <w:rPr>
          <w:lang w:val="de-DE"/>
        </w:rPr>
      </w:pPr>
      <w:r w:rsidRPr="0024178A">
        <w:rPr>
          <w:lang w:val="de-DE"/>
        </w:rPr>
        <w:t>ViscoTec Pumpen- u. Dosiertechnik GmbH</w:t>
      </w:r>
    </w:p>
    <w:p w14:paraId="2BBDC1A4" w14:textId="77777777" w:rsidR="00BD097C" w:rsidRPr="0024178A" w:rsidRDefault="00BD097C" w:rsidP="00A32B7C">
      <w:pPr>
        <w:rPr>
          <w:lang w:val="de-DE"/>
        </w:rPr>
      </w:pPr>
      <w:r w:rsidRPr="0024178A">
        <w:rPr>
          <w:lang w:val="de-DE"/>
        </w:rPr>
        <w:t>Amperstraße 13, D-84513 Töging a. Inn</w:t>
      </w:r>
    </w:p>
    <w:p w14:paraId="29BA8A0B" w14:textId="77777777" w:rsidR="00BD097C" w:rsidRPr="005F128E" w:rsidRDefault="009C4840" w:rsidP="00A32B7C">
      <w:r w:rsidRPr="005F128E">
        <w:t>Phone</w:t>
      </w:r>
      <w:r w:rsidR="00BD097C" w:rsidRPr="005F128E">
        <w:t xml:space="preserve"> +49 8631 9274-441 </w:t>
      </w:r>
    </w:p>
    <w:p w14:paraId="744E9D30" w14:textId="77777777" w:rsidR="00BD097C" w:rsidRPr="005F128E" w:rsidRDefault="00BD097C" w:rsidP="00A32B7C">
      <w:r w:rsidRPr="005F128E">
        <w:t>E-Mail: thomas.diringer@viscotec.de · www.preeflow.com</w:t>
      </w:r>
    </w:p>
    <w:p w14:paraId="06F12870" w14:textId="77777777" w:rsidR="00BD097C" w:rsidRPr="005F128E" w:rsidRDefault="00BD097C" w:rsidP="00A32B7C"/>
    <w:p w14:paraId="6CA8F6AC" w14:textId="77777777" w:rsidR="00BD097C" w:rsidRPr="005F128E" w:rsidRDefault="00670B7B" w:rsidP="00A32B7C">
      <w:r w:rsidRPr="005F128E">
        <w:t>Melanie Hintereder</w:t>
      </w:r>
      <w:r w:rsidR="00BD097C" w:rsidRPr="005F128E">
        <w:t>, Marketing</w:t>
      </w:r>
    </w:p>
    <w:p w14:paraId="290C2836" w14:textId="77777777" w:rsidR="00BD097C" w:rsidRPr="0024178A" w:rsidRDefault="00BD097C" w:rsidP="00A32B7C">
      <w:pPr>
        <w:rPr>
          <w:lang w:val="de-DE"/>
        </w:rPr>
      </w:pPr>
      <w:r w:rsidRPr="0024178A">
        <w:rPr>
          <w:lang w:val="de-DE"/>
        </w:rPr>
        <w:t>ViscoTec Pumpen- u. Dosiertechnik GmbH</w:t>
      </w:r>
    </w:p>
    <w:p w14:paraId="526F5FAE" w14:textId="77777777" w:rsidR="00BD097C" w:rsidRPr="0024178A" w:rsidRDefault="00BD097C" w:rsidP="00A32B7C">
      <w:pPr>
        <w:rPr>
          <w:lang w:val="de-DE"/>
        </w:rPr>
      </w:pPr>
      <w:r w:rsidRPr="0024178A">
        <w:rPr>
          <w:lang w:val="de-DE"/>
        </w:rPr>
        <w:t>Amperstraße 13, D-84513 Töging a. Inn</w:t>
      </w:r>
    </w:p>
    <w:p w14:paraId="15B67BAB" w14:textId="77777777" w:rsidR="00BD097C" w:rsidRPr="005F128E" w:rsidRDefault="009C4840" w:rsidP="00A32B7C">
      <w:pPr>
        <w:rPr>
          <w:lang w:val="fr-FR"/>
        </w:rPr>
      </w:pPr>
      <w:r w:rsidRPr="005F128E">
        <w:rPr>
          <w:lang w:val="fr-FR"/>
        </w:rPr>
        <w:t>Phone</w:t>
      </w:r>
      <w:r w:rsidR="00BD097C" w:rsidRPr="005F128E">
        <w:rPr>
          <w:lang w:val="fr-FR"/>
        </w:rPr>
        <w:t xml:space="preserve"> +49 8631 9274-4</w:t>
      </w:r>
      <w:r w:rsidR="00670B7B" w:rsidRPr="005F128E">
        <w:rPr>
          <w:lang w:val="fr-FR"/>
        </w:rPr>
        <w:t>04</w:t>
      </w:r>
      <w:r w:rsidR="00BD097C" w:rsidRPr="005F128E">
        <w:rPr>
          <w:lang w:val="fr-FR"/>
        </w:rPr>
        <w:t xml:space="preserve"> </w:t>
      </w:r>
    </w:p>
    <w:p w14:paraId="40332348" w14:textId="2B4DBE3C" w:rsidR="00207D48" w:rsidRPr="005F128E" w:rsidRDefault="00BD097C" w:rsidP="00A32B7C">
      <w:pPr>
        <w:rPr>
          <w:lang w:val="fr-FR"/>
        </w:rPr>
      </w:pPr>
      <w:r w:rsidRPr="005F128E">
        <w:rPr>
          <w:lang w:val="fr-FR"/>
        </w:rPr>
        <w:t xml:space="preserve">E-Mail: </w:t>
      </w:r>
      <w:r w:rsidR="00670B7B" w:rsidRPr="005F128E">
        <w:rPr>
          <w:lang w:val="fr-FR"/>
        </w:rPr>
        <w:t>melanie.hintereder</w:t>
      </w:r>
      <w:r w:rsidRPr="005F128E">
        <w:rPr>
          <w:lang w:val="fr-FR"/>
        </w:rPr>
        <w:t>@viscotec.de · www.viscotec.de</w:t>
      </w:r>
    </w:p>
    <w:p w14:paraId="04DD6A82" w14:textId="77777777" w:rsidR="00207D48" w:rsidRPr="005F128E" w:rsidRDefault="00207D48" w:rsidP="00A32B7C">
      <w:pPr>
        <w:rPr>
          <w:lang w:val="fr-FR"/>
        </w:rPr>
      </w:pPr>
    </w:p>
    <w:bookmarkEnd w:id="0"/>
    <w:p w14:paraId="3D4BBF8A" w14:textId="77777777" w:rsidR="006E2BC6" w:rsidRPr="005F128E" w:rsidRDefault="006E2BC6" w:rsidP="00DA128F">
      <w:pPr>
        <w:pStyle w:val="Fusszeile"/>
        <w:rPr>
          <w:lang w:val="fr-FR"/>
        </w:rPr>
      </w:pPr>
    </w:p>
    <w:sectPr w:rsidR="006E2BC6" w:rsidRPr="005F128E"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8F444" w14:textId="77777777" w:rsidR="0065690C" w:rsidRDefault="0065690C" w:rsidP="00A32B7C">
      <w:r>
        <w:separator/>
      </w:r>
    </w:p>
  </w:endnote>
  <w:endnote w:type="continuationSeparator" w:id="0">
    <w:p w14:paraId="054E7483" w14:textId="77777777" w:rsidR="0065690C" w:rsidRDefault="0065690C"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FFC86" w14:textId="77777777" w:rsidR="00A32B7C" w:rsidRDefault="00A32B7C" w:rsidP="00A32B7C">
    <w:pPr>
      <w:tabs>
        <w:tab w:val="left" w:pos="3261"/>
      </w:tabs>
      <w:rPr>
        <w:noProof/>
        <w:sz w:val="14"/>
        <w:szCs w:val="14"/>
      </w:rPr>
    </w:pPr>
    <w:bookmarkStart w:id="1" w:name="_Hlk517093279"/>
  </w:p>
  <w:p w14:paraId="119780BE"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6823FE10" wp14:editId="47D69B3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257D5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C32A740" w14:textId="77777777" w:rsidR="00A32B7C" w:rsidRDefault="00A32B7C" w:rsidP="00A32B7C">
    <w:pPr>
      <w:tabs>
        <w:tab w:val="left" w:pos="3261"/>
      </w:tabs>
      <w:rPr>
        <w:noProof/>
        <w:sz w:val="14"/>
        <w:szCs w:val="14"/>
      </w:rPr>
    </w:pPr>
  </w:p>
  <w:bookmarkEnd w:id="1"/>
  <w:p w14:paraId="3E47453A" w14:textId="77777777" w:rsidR="00A32B7C" w:rsidRPr="000229A2" w:rsidRDefault="00DE1923" w:rsidP="00A32B7C">
    <w:pPr>
      <w:pStyle w:val="Fusszeile"/>
      <w:rPr>
        <w:lang w:val="de-DE"/>
      </w:rPr>
    </w:pPr>
    <w:r w:rsidRPr="000229A2">
      <w:rPr>
        <w:lang w:val="de-DE"/>
      </w:rPr>
      <w:t>Status</w:t>
    </w:r>
    <w:r w:rsidR="00A32B7C" w:rsidRPr="000229A2">
      <w:rPr>
        <w:lang w:val="de-DE"/>
      </w:rPr>
      <w:t>: 0</w:t>
    </w:r>
    <w:r w:rsidR="0024178A" w:rsidRPr="000229A2">
      <w:rPr>
        <w:lang w:val="de-DE"/>
      </w:rPr>
      <w:t>8</w:t>
    </w:r>
    <w:r w:rsidR="00A32B7C" w:rsidRPr="000229A2">
      <w:rPr>
        <w:lang w:val="de-DE"/>
      </w:rPr>
      <w:t>.0</w:t>
    </w:r>
    <w:r w:rsidR="0024178A" w:rsidRPr="000229A2">
      <w:rPr>
        <w:lang w:val="de-DE"/>
      </w:rPr>
      <w:t>1</w:t>
    </w:r>
    <w:r w:rsidR="00A32B7C" w:rsidRPr="000229A2">
      <w:rPr>
        <w:lang w:val="de-DE"/>
      </w:rPr>
      <w:t>.20</w:t>
    </w:r>
    <w:r w:rsidR="0024178A" w:rsidRPr="000229A2">
      <w:rPr>
        <w:lang w:val="de-DE"/>
      </w:rPr>
      <w:t>20</w:t>
    </w:r>
    <w:r w:rsidR="00A32B7C" w:rsidRPr="000229A2">
      <w:rPr>
        <w:color w:val="7F7F7F"/>
        <w:lang w:val="de-DE"/>
      </w:rPr>
      <w:tab/>
    </w:r>
    <w:r w:rsidR="00A32B7C" w:rsidRPr="000229A2">
      <w:rPr>
        <w:lang w:val="de-DE"/>
      </w:rPr>
      <w:t xml:space="preserve"> </w:t>
    </w:r>
    <w:r w:rsidR="00A32B7C" w:rsidRPr="000229A2">
      <w:rPr>
        <w:color w:val="7F7F7F"/>
        <w:lang w:val="de-DE"/>
      </w:rPr>
      <w:tab/>
    </w:r>
    <w:r w:rsidR="00A32B7C" w:rsidRPr="000229A2">
      <w:rPr>
        <w:lang w:val="de-DE"/>
      </w:rPr>
      <w:tab/>
    </w:r>
    <w:r w:rsidR="00CA44B8" w:rsidRPr="000229A2">
      <w:rPr>
        <w:lang w:val="de-DE"/>
      </w:rPr>
      <w:t>Page</w:t>
    </w:r>
    <w:r w:rsidR="00A32B7C" w:rsidRPr="000229A2">
      <w:rPr>
        <w:lang w:val="de-DE"/>
      </w:rPr>
      <w:t xml:space="preserve"> </w:t>
    </w:r>
    <w:r w:rsidR="00A32B7C" w:rsidRPr="003976F5">
      <w:fldChar w:fldCharType="begin"/>
    </w:r>
    <w:r w:rsidR="00A32B7C" w:rsidRPr="000229A2">
      <w:rPr>
        <w:lang w:val="de-DE"/>
      </w:rPr>
      <w:instrText xml:space="preserve"> PAGE </w:instrText>
    </w:r>
    <w:r w:rsidR="00A32B7C" w:rsidRPr="003976F5">
      <w:fldChar w:fldCharType="separate"/>
    </w:r>
    <w:r w:rsidR="00A32B7C" w:rsidRPr="000229A2">
      <w:rPr>
        <w:lang w:val="de-DE"/>
      </w:rPr>
      <w:t>1</w:t>
    </w:r>
    <w:r w:rsidR="00A32B7C" w:rsidRPr="003976F5">
      <w:fldChar w:fldCharType="end"/>
    </w:r>
    <w:r w:rsidR="00A32B7C" w:rsidRPr="000229A2">
      <w:rPr>
        <w:lang w:val="de-DE"/>
      </w:rPr>
      <w:t xml:space="preserve"> </w:t>
    </w:r>
    <w:r w:rsidR="00CA44B8" w:rsidRPr="000229A2">
      <w:rPr>
        <w:lang w:val="de-DE"/>
      </w:rPr>
      <w:t>of</w:t>
    </w:r>
    <w:r w:rsidR="00A32B7C" w:rsidRPr="000229A2">
      <w:rPr>
        <w:lang w:val="de-DE"/>
      </w:rPr>
      <w:t xml:space="preserve"> </w:t>
    </w:r>
    <w:r w:rsidR="00A32B7C" w:rsidRPr="003976F5">
      <w:fldChar w:fldCharType="begin"/>
    </w:r>
    <w:r w:rsidR="00A32B7C" w:rsidRPr="000229A2">
      <w:rPr>
        <w:lang w:val="de-DE"/>
      </w:rPr>
      <w:instrText xml:space="preserve"> NUMPAGES  </w:instrText>
    </w:r>
    <w:r w:rsidR="00A32B7C" w:rsidRPr="003976F5">
      <w:fldChar w:fldCharType="separate"/>
    </w:r>
    <w:r w:rsidR="00A32B7C" w:rsidRPr="000229A2">
      <w:rPr>
        <w:lang w:val="de-DE"/>
      </w:rPr>
      <w:t>2</w:t>
    </w:r>
    <w:r w:rsidR="00A32B7C" w:rsidRPr="003976F5">
      <w:fldChar w:fldCharType="end"/>
    </w:r>
  </w:p>
  <w:p w14:paraId="4F378907" w14:textId="77777777" w:rsidR="00A32B7C" w:rsidRPr="000229A2" w:rsidRDefault="00A32B7C" w:rsidP="00A32B7C">
    <w:pPr>
      <w:tabs>
        <w:tab w:val="left" w:pos="450"/>
        <w:tab w:val="left" w:pos="3261"/>
        <w:tab w:val="left" w:pos="5954"/>
        <w:tab w:val="left" w:pos="8789"/>
      </w:tabs>
      <w:rPr>
        <w:b/>
        <w:noProof/>
        <w:sz w:val="14"/>
        <w:szCs w:val="14"/>
        <w:lang w:val="de-DE"/>
      </w:rPr>
    </w:pPr>
  </w:p>
  <w:p w14:paraId="2090ABE9" w14:textId="77777777" w:rsidR="00A32B7C" w:rsidRPr="000229A2" w:rsidRDefault="00A32B7C" w:rsidP="00A32B7C">
    <w:pPr>
      <w:tabs>
        <w:tab w:val="left" w:pos="450"/>
        <w:tab w:val="left" w:pos="3261"/>
        <w:tab w:val="left" w:pos="5954"/>
        <w:tab w:val="left" w:pos="8789"/>
      </w:tabs>
      <w:rPr>
        <w:noProof/>
        <w:color w:val="7F7F7F"/>
        <w:sz w:val="14"/>
        <w:szCs w:val="14"/>
        <w:lang w:val="de-DE"/>
      </w:rPr>
    </w:pPr>
    <w:r w:rsidRPr="000229A2">
      <w:rPr>
        <w:b/>
        <w:noProof/>
        <w:sz w:val="14"/>
        <w:szCs w:val="14"/>
        <w:lang w:val="de-DE"/>
      </w:rPr>
      <w:t>ViscoTec</w:t>
    </w:r>
    <w:r w:rsidRPr="000229A2">
      <w:rPr>
        <w:noProof/>
        <w:sz w:val="14"/>
        <w:szCs w:val="14"/>
        <w:lang w:val="de-DE"/>
      </w:rPr>
      <w:tab/>
      <w:t>Amperstraße 13</w:t>
    </w:r>
    <w:r w:rsidRPr="000229A2">
      <w:rPr>
        <w:noProof/>
        <w:color w:val="7F7F7F"/>
        <w:sz w:val="14"/>
        <w:szCs w:val="14"/>
        <w:lang w:val="de-DE"/>
      </w:rPr>
      <w:tab/>
    </w:r>
    <w:r w:rsidRPr="000229A2">
      <w:rPr>
        <w:b/>
        <w:noProof/>
        <w:color w:val="00B0F0"/>
        <w:sz w:val="14"/>
        <w:szCs w:val="14"/>
        <w:lang w:val="de-DE"/>
      </w:rPr>
      <w:t>T</w:t>
    </w:r>
    <w:r w:rsidRPr="000229A2">
      <w:rPr>
        <w:noProof/>
        <w:color w:val="7F7F7F"/>
        <w:sz w:val="14"/>
        <w:szCs w:val="14"/>
        <w:lang w:val="de-DE"/>
      </w:rPr>
      <w:t xml:space="preserve">  </w:t>
    </w:r>
    <w:r w:rsidRPr="000229A2">
      <w:rPr>
        <w:noProof/>
        <w:sz w:val="14"/>
        <w:szCs w:val="14"/>
        <w:lang w:val="de-DE"/>
      </w:rPr>
      <w:t>+49 8631 9274-0</w:t>
    </w:r>
    <w:r w:rsidRPr="000229A2">
      <w:rPr>
        <w:noProof/>
        <w:color w:val="7F7F7F"/>
        <w:sz w:val="14"/>
        <w:szCs w:val="14"/>
        <w:lang w:val="de-DE"/>
      </w:rPr>
      <w:tab/>
    </w:r>
    <w:r w:rsidRPr="000229A2">
      <w:rPr>
        <w:b/>
        <w:noProof/>
        <w:color w:val="00B0F0"/>
        <w:sz w:val="14"/>
        <w:szCs w:val="14"/>
        <w:lang w:val="de-DE"/>
      </w:rPr>
      <w:t>W</w:t>
    </w:r>
    <w:r w:rsidRPr="000229A2">
      <w:rPr>
        <w:noProof/>
        <w:color w:val="7F7F7F"/>
        <w:sz w:val="14"/>
        <w:szCs w:val="14"/>
        <w:lang w:val="de-DE"/>
      </w:rPr>
      <w:t xml:space="preserve"> </w:t>
    </w:r>
    <w:r w:rsidRPr="000229A2">
      <w:rPr>
        <w:noProof/>
        <w:color w:val="7F7F7F"/>
        <w:sz w:val="20"/>
        <w:szCs w:val="20"/>
        <w:lang w:val="de-DE"/>
      </w:rPr>
      <w:t xml:space="preserve"> </w:t>
    </w:r>
    <w:r w:rsidRPr="000229A2">
      <w:rPr>
        <w:noProof/>
        <w:sz w:val="14"/>
        <w:szCs w:val="14"/>
        <w:lang w:val="de-DE"/>
      </w:rPr>
      <w:t xml:space="preserve">www.viscotec.de </w:t>
    </w:r>
  </w:p>
  <w:p w14:paraId="691FBF5E"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54D8F" w14:textId="77777777" w:rsidR="0065690C" w:rsidRDefault="0065690C" w:rsidP="00A32B7C">
      <w:r>
        <w:separator/>
      </w:r>
    </w:p>
  </w:footnote>
  <w:footnote w:type="continuationSeparator" w:id="0">
    <w:p w14:paraId="009D3E2C" w14:textId="77777777" w:rsidR="0065690C" w:rsidRDefault="0065690C"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9A971"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670A8B4A" wp14:editId="1A8E822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4BC61CE1" w14:textId="77777777" w:rsidR="006B78C4" w:rsidRDefault="006B78C4" w:rsidP="00A32B7C">
    <w:pPr>
      <w:pStyle w:val="Kopfzeile"/>
    </w:pPr>
  </w:p>
  <w:p w14:paraId="0A4ED2DC" w14:textId="77777777" w:rsidR="006B78C4" w:rsidRDefault="006B78C4" w:rsidP="00A32B7C">
    <w:pPr>
      <w:pStyle w:val="Kopfzeile"/>
    </w:pPr>
  </w:p>
  <w:p w14:paraId="0CFC03B6" w14:textId="77777777" w:rsidR="006B78C4" w:rsidRDefault="006B78C4" w:rsidP="00A32B7C">
    <w:pPr>
      <w:pStyle w:val="Kopfzeile"/>
    </w:pPr>
  </w:p>
  <w:p w14:paraId="3B272307" w14:textId="77777777" w:rsidR="006B78C4" w:rsidRDefault="006B78C4" w:rsidP="00A32B7C">
    <w:pPr>
      <w:pStyle w:val="Kopfzeile"/>
    </w:pPr>
  </w:p>
  <w:p w14:paraId="67778913" w14:textId="77777777" w:rsidR="006B78C4" w:rsidRDefault="00DA128F" w:rsidP="00DA128F">
    <w:pPr>
      <w:pStyle w:val="KopfzeileHeadline"/>
    </w:pPr>
    <w:r w:rsidRPr="00BD6574">
      <w:t>PRES</w:t>
    </w:r>
    <w:r>
      <w:t>S RELEASE</w:t>
    </w:r>
  </w:p>
  <w:p w14:paraId="6FD28D51" w14:textId="77777777" w:rsidR="006B78C4" w:rsidRDefault="006B78C4" w:rsidP="00A32B7C">
    <w:pPr>
      <w:pStyle w:val="Kopfzeile"/>
    </w:pPr>
  </w:p>
  <w:p w14:paraId="7B846072" w14:textId="77777777" w:rsidR="006B78C4" w:rsidRDefault="006B78C4" w:rsidP="00A32B7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80E"/>
    <w:rsid w:val="00017921"/>
    <w:rsid w:val="000229A2"/>
    <w:rsid w:val="0007129F"/>
    <w:rsid w:val="00094746"/>
    <w:rsid w:val="000B283B"/>
    <w:rsid w:val="000B44E6"/>
    <w:rsid w:val="000D7869"/>
    <w:rsid w:val="000F3990"/>
    <w:rsid w:val="00100CE6"/>
    <w:rsid w:val="0019178B"/>
    <w:rsid w:val="00196B6F"/>
    <w:rsid w:val="001C44D2"/>
    <w:rsid w:val="001E5264"/>
    <w:rsid w:val="00207D48"/>
    <w:rsid w:val="00213097"/>
    <w:rsid w:val="00216DE4"/>
    <w:rsid w:val="00217A6A"/>
    <w:rsid w:val="0024178A"/>
    <w:rsid w:val="002974AD"/>
    <w:rsid w:val="002B4444"/>
    <w:rsid w:val="002C1B58"/>
    <w:rsid w:val="002D75CC"/>
    <w:rsid w:val="002F00CC"/>
    <w:rsid w:val="00304C95"/>
    <w:rsid w:val="003074B0"/>
    <w:rsid w:val="00310BD9"/>
    <w:rsid w:val="00346F0D"/>
    <w:rsid w:val="003857C3"/>
    <w:rsid w:val="003B111D"/>
    <w:rsid w:val="003C23BC"/>
    <w:rsid w:val="003D22D6"/>
    <w:rsid w:val="00406BB4"/>
    <w:rsid w:val="0043680E"/>
    <w:rsid w:val="004E6FF0"/>
    <w:rsid w:val="004F0705"/>
    <w:rsid w:val="00502B11"/>
    <w:rsid w:val="0050565F"/>
    <w:rsid w:val="00517A36"/>
    <w:rsid w:val="00525CD7"/>
    <w:rsid w:val="0056210E"/>
    <w:rsid w:val="00590466"/>
    <w:rsid w:val="00592CA1"/>
    <w:rsid w:val="005F128E"/>
    <w:rsid w:val="00610C87"/>
    <w:rsid w:val="00615007"/>
    <w:rsid w:val="00620F59"/>
    <w:rsid w:val="006219C0"/>
    <w:rsid w:val="006400E2"/>
    <w:rsid w:val="0065690C"/>
    <w:rsid w:val="00670B7B"/>
    <w:rsid w:val="006B78C4"/>
    <w:rsid w:val="006C0AC6"/>
    <w:rsid w:val="006E2BC6"/>
    <w:rsid w:val="007008DF"/>
    <w:rsid w:val="00756476"/>
    <w:rsid w:val="00765D69"/>
    <w:rsid w:val="00791C50"/>
    <w:rsid w:val="007C6E88"/>
    <w:rsid w:val="007E6CA0"/>
    <w:rsid w:val="00853652"/>
    <w:rsid w:val="008F388C"/>
    <w:rsid w:val="00972B7F"/>
    <w:rsid w:val="00986F58"/>
    <w:rsid w:val="0098756D"/>
    <w:rsid w:val="009C4840"/>
    <w:rsid w:val="009D0A72"/>
    <w:rsid w:val="009E289E"/>
    <w:rsid w:val="00A02963"/>
    <w:rsid w:val="00A23D8E"/>
    <w:rsid w:val="00A32B7C"/>
    <w:rsid w:val="00AB3895"/>
    <w:rsid w:val="00AC080F"/>
    <w:rsid w:val="00AE544C"/>
    <w:rsid w:val="00B07A84"/>
    <w:rsid w:val="00B12037"/>
    <w:rsid w:val="00B1362C"/>
    <w:rsid w:val="00B24A85"/>
    <w:rsid w:val="00B27160"/>
    <w:rsid w:val="00B60D2C"/>
    <w:rsid w:val="00B92A30"/>
    <w:rsid w:val="00BD097C"/>
    <w:rsid w:val="00BF4CEF"/>
    <w:rsid w:val="00C12369"/>
    <w:rsid w:val="00C135DE"/>
    <w:rsid w:val="00C75A4E"/>
    <w:rsid w:val="00C83E1A"/>
    <w:rsid w:val="00C93794"/>
    <w:rsid w:val="00CA44B8"/>
    <w:rsid w:val="00CB2995"/>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B69BA"/>
    <w:rsid w:val="00EC0948"/>
    <w:rsid w:val="00ED36C9"/>
    <w:rsid w:val="00ED3E57"/>
    <w:rsid w:val="00EE763E"/>
    <w:rsid w:val="00F3451B"/>
    <w:rsid w:val="00FB42B0"/>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BFE882"/>
  <w15:docId w15:val="{559540E9-FFF1-4275-A612-1BF0C6F8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6B6F"/>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196B6F"/>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196B6F"/>
    <w:rPr>
      <w:rFonts w:ascii="Arial" w:hAnsi="Arial" w:cs="Arial"/>
      <w:b/>
      <w:sz w:val="28"/>
      <w:szCs w:val="28"/>
      <w:lang w:val="en-US"/>
    </w:rPr>
  </w:style>
  <w:style w:type="paragraph" w:styleId="Untertitel">
    <w:name w:val="Subtitle"/>
    <w:basedOn w:val="Standard"/>
    <w:next w:val="Standard"/>
    <w:link w:val="UntertitelZchn"/>
    <w:uiPriority w:val="11"/>
    <w:qFormat/>
    <w:rsid w:val="00196B6F"/>
    <w:pPr>
      <w:spacing w:line="360" w:lineRule="auto"/>
      <w:ind w:right="1418"/>
    </w:pPr>
    <w:rPr>
      <w:b/>
    </w:rPr>
  </w:style>
  <w:style w:type="character" w:customStyle="1" w:styleId="UntertitelZchn">
    <w:name w:val="Untertitel Zchn"/>
    <w:basedOn w:val="Absatz-Standardschriftart"/>
    <w:link w:val="Untertitel"/>
    <w:uiPriority w:val="11"/>
    <w:rsid w:val="00196B6F"/>
    <w:rPr>
      <w:rFonts w:ascii="Arial" w:hAnsi="Arial" w:cs="Arial"/>
      <w:b/>
      <w:lang w:val="en-US"/>
    </w:rPr>
  </w:style>
  <w:style w:type="paragraph" w:customStyle="1" w:styleId="Bildunterschrift">
    <w:name w:val="Bildunterschrift"/>
    <w:basedOn w:val="Standard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196B6F"/>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196B6F"/>
    <w:rPr>
      <w:rFonts w:ascii="Arial" w:eastAsia="Times New Roman" w:hAnsi="Arial" w:cs="Arial"/>
      <w:i/>
      <w:sz w:val="18"/>
      <w:szCs w:val="18"/>
      <w:lang w:val="en-US" w:eastAsia="de-DE"/>
    </w:rPr>
  </w:style>
  <w:style w:type="paragraph" w:customStyle="1" w:styleId="Fusszeile">
    <w:name w:val="Fusszeile"/>
    <w:basedOn w:val="Standard"/>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Absatz-Standardschriftart"/>
    <w:link w:val="Presse-Fliesstext"/>
    <w:rsid w:val="00196B6F"/>
    <w:rPr>
      <w:rFonts w:ascii="Arial" w:hAnsi="Arial" w:cs="Arial"/>
      <w:lang w:val="en-US"/>
    </w:rPr>
  </w:style>
  <w:style w:type="paragraph" w:customStyle="1" w:styleId="KopfzeileHeadline">
    <w:name w:val="Kopfzeile Headline"/>
    <w:basedOn w:val="Kopfzeile"/>
    <w:link w:val="KopfzeileHeadlineZchn"/>
    <w:qFormat/>
    <w:rsid w:val="00196B6F"/>
    <w:rPr>
      <w:b/>
      <w:color w:val="009DE0"/>
      <w:sz w:val="32"/>
      <w:szCs w:val="32"/>
    </w:rPr>
  </w:style>
  <w:style w:type="character" w:customStyle="1" w:styleId="FusszeileZchn">
    <w:name w:val="Fusszeile Zchn"/>
    <w:basedOn w:val="Absatz-Standardschriftart"/>
    <w:link w:val="Fusszeile"/>
    <w:rsid w:val="00196B6F"/>
    <w:rPr>
      <w:rFonts w:ascii="Arial" w:hAnsi="Arial" w:cs="Arial"/>
      <w:sz w:val="14"/>
      <w:szCs w:val="14"/>
      <w:lang w:val="en-US"/>
    </w:rPr>
  </w:style>
  <w:style w:type="character" w:customStyle="1" w:styleId="KopfzeileHeadlineZchn">
    <w:name w:val="Kopfzeile Headline Zchn"/>
    <w:basedOn w:val="KopfzeileZchn"/>
    <w:link w:val="KopfzeileHeadline"/>
    <w:rsid w:val="00196B6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EFB1-11D2-4615-9FC4-20F31F83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726</Words>
  <Characters>4577</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Hintereder, Melanie</cp:lastModifiedBy>
  <cp:revision>5</cp:revision>
  <cp:lastPrinted>2020-05-26T09:49:00Z</cp:lastPrinted>
  <dcterms:created xsi:type="dcterms:W3CDTF">2020-06-18T10:21:00Z</dcterms:created>
  <dcterms:modified xsi:type="dcterms:W3CDTF">2020-07-15T11:22:00Z</dcterms:modified>
</cp:coreProperties>
</file>