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77C84" w14:textId="7C05C74C" w:rsidR="00791C50" w:rsidRPr="003F684A" w:rsidRDefault="002A017D" w:rsidP="00A1611B">
      <w:pPr>
        <w:pStyle w:val="berschrift1"/>
      </w:pPr>
      <w:r>
        <w:t>Mini</w:t>
      </w:r>
      <w:r w:rsidR="00F61FBE">
        <w:t>atur</w:t>
      </w:r>
      <w:r>
        <w:t>-Steck</w:t>
      </w:r>
      <w:r w:rsidR="00763910">
        <w:t>verbinder</w:t>
      </w:r>
      <w:r>
        <w:t xml:space="preserve"> Verguss</w:t>
      </w:r>
    </w:p>
    <w:p w14:paraId="004E088D" w14:textId="149A734B" w:rsidR="0060381D" w:rsidRDefault="0024106E" w:rsidP="00AF2D9B">
      <w:pPr>
        <w:pStyle w:val="Subheadline"/>
      </w:pPr>
      <w:r>
        <w:t>Hochpräzise Dosierung für absolute Prozesssicherheit</w:t>
      </w:r>
    </w:p>
    <w:p w14:paraId="0445CE21" w14:textId="77777777" w:rsidR="004443E6" w:rsidRPr="003F684A" w:rsidRDefault="004443E6" w:rsidP="00AF2D9B">
      <w:pPr>
        <w:pStyle w:val="Subheadline"/>
      </w:pPr>
    </w:p>
    <w:p w14:paraId="787AA7A6" w14:textId="77777777" w:rsidR="00AF2D9B" w:rsidRPr="00B844CF" w:rsidRDefault="00AF2D9B" w:rsidP="00B844CF">
      <w:pPr>
        <w:pStyle w:val="Presse-Fliesstext"/>
      </w:pPr>
    </w:p>
    <w:p w14:paraId="56DE7916" w14:textId="30E9CF78" w:rsidR="000E7039" w:rsidRDefault="000044E6" w:rsidP="000E7039">
      <w:pPr>
        <w:pStyle w:val="Presse-Fliesstext"/>
      </w:pPr>
      <w:bookmarkStart w:id="0" w:name="_GoBack"/>
      <w:r>
        <w:t>Miniatur</w:t>
      </w:r>
      <w:r w:rsidR="00F61FBE">
        <w:t>-</w:t>
      </w:r>
      <w:r>
        <w:t>Steckverbinder</w:t>
      </w:r>
      <w:r w:rsidR="00BD0785">
        <w:t xml:space="preserve"> müssen absolut zuverlässig und kontaktsicher sein. </w:t>
      </w:r>
      <w:r w:rsidR="000E7039">
        <w:t xml:space="preserve">Für den Verguss von Miniatur-Steckverbindern sind </w:t>
      </w:r>
      <w:proofErr w:type="spellStart"/>
      <w:r w:rsidR="000E7039">
        <w:t>zweik</w:t>
      </w:r>
      <w:r w:rsidR="000E7039" w:rsidRPr="00606991">
        <w:t>omponentige</w:t>
      </w:r>
      <w:proofErr w:type="spellEnd"/>
      <w:r w:rsidR="000E7039">
        <w:t xml:space="preserve"> </w:t>
      </w:r>
      <w:r w:rsidR="000E7039" w:rsidRPr="00606991">
        <w:t>Vergussmassen</w:t>
      </w:r>
      <w:r w:rsidR="000E7039">
        <w:t xml:space="preserve"> wie PU, </w:t>
      </w:r>
      <w:proofErr w:type="spellStart"/>
      <w:r w:rsidR="000E7039">
        <w:t>Epoxy</w:t>
      </w:r>
      <w:proofErr w:type="spellEnd"/>
      <w:r w:rsidR="000E7039">
        <w:t xml:space="preserve"> oder Silikone besonders geeignet. Sie überzeugen vor allem </w:t>
      </w:r>
      <w:r w:rsidR="000E7039" w:rsidRPr="00606991">
        <w:t xml:space="preserve">durch </w:t>
      </w:r>
      <w:r w:rsidR="000E7039">
        <w:t>i</w:t>
      </w:r>
      <w:r w:rsidR="000E7039" w:rsidRPr="00606991">
        <w:t xml:space="preserve">hr </w:t>
      </w:r>
      <w:r w:rsidR="000E7039" w:rsidRPr="001179C6">
        <w:t xml:space="preserve">breites Anwendungsspektrum. </w:t>
      </w:r>
    </w:p>
    <w:p w14:paraId="0F77AB5E" w14:textId="77777777" w:rsidR="000E7039" w:rsidRDefault="000E7039" w:rsidP="00B844CF">
      <w:pPr>
        <w:pStyle w:val="Presse-Fliesstext"/>
      </w:pPr>
    </w:p>
    <w:p w14:paraId="396FA00F" w14:textId="4F8F6848" w:rsidR="001179C6" w:rsidRDefault="00ED6BB9" w:rsidP="001A610A">
      <w:pPr>
        <w:pStyle w:val="Presse-Fliesstext"/>
      </w:pPr>
      <w:r>
        <w:t>Zunehmende</w:t>
      </w:r>
      <w:r w:rsidR="00B844CF" w:rsidRPr="00B844CF">
        <w:t xml:space="preserve"> Mini</w:t>
      </w:r>
      <w:r w:rsidR="00BD0785">
        <w:t>a</w:t>
      </w:r>
      <w:r w:rsidR="00B844CF" w:rsidRPr="00B844CF">
        <w:t>turisierung von</w:t>
      </w:r>
      <w:r w:rsidR="00AE0B15">
        <w:t xml:space="preserve"> Leistungselektronik und </w:t>
      </w:r>
      <w:r w:rsidR="00800214">
        <w:t>verbesserte Sensortechnologien</w:t>
      </w:r>
      <w:r w:rsidR="00B844CF" w:rsidRPr="00B844CF">
        <w:t xml:space="preserve"> </w:t>
      </w:r>
      <w:r>
        <w:t xml:space="preserve">erhöhen </w:t>
      </w:r>
      <w:r w:rsidR="00E25147">
        <w:t>die</w:t>
      </w:r>
      <w:r w:rsidR="00B844CF" w:rsidRPr="00B844CF">
        <w:t xml:space="preserve"> Anfor</w:t>
      </w:r>
      <w:r w:rsidR="00E25147">
        <w:t>d</w:t>
      </w:r>
      <w:r w:rsidR="00B844CF" w:rsidRPr="00B844CF">
        <w:t>erungen an das Dosierequipment</w:t>
      </w:r>
      <w:r w:rsidR="00F01D1A">
        <w:t>, z.B.</w:t>
      </w:r>
      <w:r w:rsidR="00B844CF" w:rsidRPr="00B844CF">
        <w:t xml:space="preserve"> in Hinblick auf </w:t>
      </w:r>
      <w:r w:rsidR="00B64BBB">
        <w:t>w</w:t>
      </w:r>
      <w:r w:rsidR="00B844CF" w:rsidRPr="00B844CF">
        <w:t>iederholgenaue Dosierungen</w:t>
      </w:r>
      <w:r w:rsidR="00F01D1A">
        <w:t xml:space="preserve"> kleinster Mengen</w:t>
      </w:r>
      <w:r w:rsidR="00C30F25">
        <w:t xml:space="preserve">: Gefordert werden </w:t>
      </w:r>
      <w:r w:rsidR="001179C6" w:rsidRPr="001179C6">
        <w:t xml:space="preserve">kurze Zykluszeiten bei gleichzeitig </w:t>
      </w:r>
      <w:r w:rsidR="009B27D2">
        <w:t>höchster</w:t>
      </w:r>
      <w:r w:rsidR="001179C6" w:rsidRPr="001179C6">
        <w:t xml:space="preserve"> Präzision. </w:t>
      </w:r>
      <w:proofErr w:type="spellStart"/>
      <w:r w:rsidR="001E54EC">
        <w:t>pr</w:t>
      </w:r>
      <w:r w:rsidR="001179C6" w:rsidRPr="001179C6">
        <w:t>eeflow</w:t>
      </w:r>
      <w:proofErr w:type="spellEnd"/>
      <w:r w:rsidR="001179C6" w:rsidRPr="001179C6">
        <w:t xml:space="preserve"> Dispenser sind für Dosierdrücke </w:t>
      </w:r>
      <w:r w:rsidR="001179C6" w:rsidRPr="001A610A">
        <w:t>von bis zu 40 bar ausgelegt</w:t>
      </w:r>
      <w:r w:rsidR="001E54EC" w:rsidRPr="001A610A">
        <w:t xml:space="preserve"> – </w:t>
      </w:r>
      <w:r w:rsidR="00050671">
        <w:t>höhere</w:t>
      </w:r>
      <w:r w:rsidR="001179C6" w:rsidRPr="001A610A">
        <w:t xml:space="preserve"> Volumenströme </w:t>
      </w:r>
      <w:r w:rsidR="001E54EC" w:rsidRPr="001A610A">
        <w:t xml:space="preserve">sind </w:t>
      </w:r>
      <w:r w:rsidR="00D16D0B" w:rsidRPr="001A610A">
        <w:t xml:space="preserve">damit </w:t>
      </w:r>
      <w:r w:rsidR="001179C6" w:rsidRPr="001A610A">
        <w:t>prozes</w:t>
      </w:r>
      <w:r w:rsidR="001E54EC" w:rsidRPr="001A610A">
        <w:t>s</w:t>
      </w:r>
      <w:r w:rsidR="001179C6" w:rsidRPr="001A610A">
        <w:t xml:space="preserve">sicher </w:t>
      </w:r>
      <w:r w:rsidR="001E54EC" w:rsidRPr="001A610A">
        <w:t>umsetzbar</w:t>
      </w:r>
      <w:r w:rsidR="001179C6" w:rsidRPr="001A610A">
        <w:t xml:space="preserve">. </w:t>
      </w:r>
    </w:p>
    <w:p w14:paraId="7D509097" w14:textId="16C7F45C" w:rsidR="00A85B1D" w:rsidRDefault="00A85B1D" w:rsidP="001A610A">
      <w:pPr>
        <w:pStyle w:val="Presse-Fliesstext"/>
      </w:pPr>
    </w:p>
    <w:p w14:paraId="0FF61882" w14:textId="79240D5F" w:rsidR="00A85B1D" w:rsidRPr="001A610A" w:rsidRDefault="00A85B1D" w:rsidP="00A85B1D">
      <w:pPr>
        <w:pStyle w:val="Subheadline"/>
      </w:pPr>
      <w:r>
        <w:t>Kleinste Dosiermengen für den Verguss von Miniatur-Steckverbindern</w:t>
      </w:r>
    </w:p>
    <w:p w14:paraId="5969585C" w14:textId="77777777" w:rsidR="001179C6" w:rsidRPr="001A610A" w:rsidRDefault="001179C6" w:rsidP="001A610A">
      <w:pPr>
        <w:pStyle w:val="Presse-Fliesstext"/>
      </w:pPr>
    </w:p>
    <w:p w14:paraId="38C0975C" w14:textId="53A79396" w:rsidR="00703D6F" w:rsidRDefault="00F51DEC" w:rsidP="001A610A">
      <w:pPr>
        <w:pStyle w:val="Presse-Fliesstext"/>
      </w:pPr>
      <w:r w:rsidRPr="001A610A">
        <w:t xml:space="preserve">Für den Verguss von Miniatur-Steckverbindern werden </w:t>
      </w:r>
      <w:proofErr w:type="spellStart"/>
      <w:r w:rsidR="00703D6F" w:rsidRPr="001A610A">
        <w:t>preeflow</w:t>
      </w:r>
      <w:proofErr w:type="spellEnd"/>
      <w:r w:rsidR="00703D6F" w:rsidRPr="001A610A">
        <w:t xml:space="preserve"> </w:t>
      </w:r>
      <w:proofErr w:type="spellStart"/>
      <w:r w:rsidR="00703D6F" w:rsidRPr="001A610A">
        <w:t>eco</w:t>
      </w:r>
      <w:proofErr w:type="spellEnd"/>
      <w:r w:rsidR="00703D6F" w:rsidRPr="001A610A">
        <w:t>-</w:t>
      </w:r>
      <w:r w:rsidRPr="001A610A">
        <w:t>DUO</w:t>
      </w:r>
      <w:r w:rsidR="00B1746D" w:rsidRPr="001A610A">
        <w:t xml:space="preserve"> Dispenser verwendet. Sie eignen sich je nach Größe für </w:t>
      </w:r>
      <w:r w:rsidR="00A66F27" w:rsidRPr="001A610A">
        <w:t xml:space="preserve">kleinste Mengen </w:t>
      </w:r>
      <w:r w:rsidR="00703D6F" w:rsidRPr="001A610A">
        <w:t>ab 5</w:t>
      </w:r>
      <w:r w:rsidR="00A66F27" w:rsidRPr="001A610A">
        <w:t xml:space="preserve"> </w:t>
      </w:r>
      <w:r w:rsidR="00703D6F" w:rsidRPr="001A610A">
        <w:t>µl bis hin zu höhere</w:t>
      </w:r>
      <w:r w:rsidR="00A66F27" w:rsidRPr="001A610A">
        <w:t>n</w:t>
      </w:r>
      <w:r w:rsidR="00703D6F" w:rsidRPr="001A610A">
        <w:t xml:space="preserve"> Volumenströme</w:t>
      </w:r>
      <w:r w:rsidR="00A66F27" w:rsidRPr="001A610A">
        <w:t>n von</w:t>
      </w:r>
      <w:r w:rsidR="00703D6F" w:rsidRPr="001A610A">
        <w:t xml:space="preserve"> bis </w:t>
      </w:r>
      <w:r w:rsidR="00A66F27" w:rsidRPr="001A610A">
        <w:t xml:space="preserve">zu </w:t>
      </w:r>
      <w:r w:rsidR="00703D6F" w:rsidRPr="001A610A">
        <w:t xml:space="preserve">32 ml/min. </w:t>
      </w:r>
      <w:r w:rsidR="00281589">
        <w:t>Perfekt aufeinander abgestimmte Komponenten in den Dispensern</w:t>
      </w:r>
      <w:r w:rsidR="00CD3797">
        <w:t xml:space="preserve"> sorgen für </w:t>
      </w:r>
      <w:r w:rsidR="00CF0446" w:rsidRPr="000D6A85">
        <w:t xml:space="preserve">höchste </w:t>
      </w:r>
      <w:r w:rsidR="00CD3797">
        <w:t>c</w:t>
      </w:r>
      <w:r w:rsidR="00CF0446" w:rsidRPr="000D6A85">
        <w:t>hemische Beständigkeit</w:t>
      </w:r>
      <w:r w:rsidR="00613B1E">
        <w:t xml:space="preserve">. Eine </w:t>
      </w:r>
      <w:r w:rsidR="00CF0446" w:rsidRPr="000D6A85">
        <w:t xml:space="preserve">präzise Ansteuerung durch die </w:t>
      </w:r>
      <w:r w:rsidR="00613B1E">
        <w:t xml:space="preserve">Steuerungseinheit </w:t>
      </w:r>
      <w:r w:rsidR="00CF0446" w:rsidRPr="000D6A85">
        <w:t>EC200-</w:t>
      </w:r>
      <w:r w:rsidR="00613B1E">
        <w:t>DUO</w:t>
      </w:r>
      <w:r w:rsidR="007D0658">
        <w:t xml:space="preserve"> macht den Vergussprozess komplett</w:t>
      </w:r>
      <w:r w:rsidR="00CF0446" w:rsidRPr="000D6A85">
        <w:t>.</w:t>
      </w:r>
    </w:p>
    <w:p w14:paraId="309BEDE6" w14:textId="77777777" w:rsidR="00E9278F" w:rsidRDefault="00E9278F" w:rsidP="001A610A">
      <w:pPr>
        <w:pStyle w:val="Presse-Fliesstext"/>
      </w:pPr>
    </w:p>
    <w:p w14:paraId="46BC129D" w14:textId="3B670C6D" w:rsidR="00E9278F" w:rsidRDefault="00E9278F" w:rsidP="00E9278F">
      <w:pPr>
        <w:pStyle w:val="Presse-Fliesstext"/>
      </w:pPr>
      <w:r w:rsidRPr="001A610A">
        <w:t xml:space="preserve">Dank der Exzenterschnecken-Technologie, auf der die </w:t>
      </w:r>
      <w:proofErr w:type="spellStart"/>
      <w:r w:rsidRPr="001A610A">
        <w:t>preeflow</w:t>
      </w:r>
      <w:proofErr w:type="spellEnd"/>
      <w:r w:rsidRPr="001A610A">
        <w:t xml:space="preserve"> Produkte basieren, ist eine wiederholgenaue, präzise und prozesssichere Dosierung garantiert. Vor allem bei 2K Anwendungen ergibt sich durch diese Technologie eine jederzeit volumetrische Vermischung der beiden Komponenten. Das ist wichtig, denn die vom Klebstoffhersteller vorgegebenen Mischungsverhältnisse müssen kontinuierlich eingehalten werden, um eine fehlerfreie Aushärtung zu gewährleisten. </w:t>
      </w:r>
    </w:p>
    <w:p w14:paraId="528C8C6A" w14:textId="74F3A1DC" w:rsidR="008E46F3" w:rsidRDefault="008E46F3" w:rsidP="00E9278F">
      <w:pPr>
        <w:pStyle w:val="Presse-Fliesstext"/>
      </w:pPr>
    </w:p>
    <w:p w14:paraId="41956F94" w14:textId="2E604690" w:rsidR="008E46F3" w:rsidRPr="001A610A" w:rsidRDefault="008E46F3" w:rsidP="008E46F3">
      <w:pPr>
        <w:pStyle w:val="Subheadline"/>
      </w:pPr>
      <w:r>
        <w:lastRenderedPageBreak/>
        <w:t>Vielfältige Einsatzgebiete für die Dispenser im Steckverbinder Verguss</w:t>
      </w:r>
    </w:p>
    <w:p w14:paraId="39E95058" w14:textId="77777777" w:rsidR="00E9278F" w:rsidRPr="001A610A" w:rsidRDefault="00E9278F" w:rsidP="001A610A">
      <w:pPr>
        <w:pStyle w:val="Presse-Fliesstext"/>
      </w:pPr>
    </w:p>
    <w:p w14:paraId="3EA89101" w14:textId="77777777" w:rsidR="00D74C10" w:rsidRDefault="00590CDE" w:rsidP="00DA14A5">
      <w:pPr>
        <w:pStyle w:val="Presse-Fliesstext"/>
      </w:pPr>
      <w:r>
        <w:t xml:space="preserve">Die </w:t>
      </w:r>
      <w:r w:rsidR="00D74C10">
        <w:t>Anwendungs</w:t>
      </w:r>
      <w:r w:rsidR="00703D6F" w:rsidRPr="001A610A">
        <w:t xml:space="preserve">gebiete </w:t>
      </w:r>
      <w:r w:rsidR="001D58A2">
        <w:t xml:space="preserve">für die Dispenser </w:t>
      </w:r>
      <w:r w:rsidR="00703D6F" w:rsidRPr="001A610A">
        <w:t>sind</w:t>
      </w:r>
      <w:r>
        <w:t xml:space="preserve"> vielfältig: </w:t>
      </w:r>
      <w:r w:rsidR="00796895">
        <w:t>Ein t</w:t>
      </w:r>
      <w:r w:rsidR="00796895" w:rsidRPr="00DA14A5">
        <w:t>ypisches Beispiel</w:t>
      </w:r>
      <w:r w:rsidR="00796895">
        <w:t xml:space="preserve"> ist </w:t>
      </w:r>
      <w:r w:rsidR="00FA6FDA">
        <w:t xml:space="preserve">der </w:t>
      </w:r>
      <w:r w:rsidR="00796895" w:rsidRPr="00DA14A5">
        <w:t>Steck</w:t>
      </w:r>
      <w:r w:rsidR="00FA6FDA">
        <w:t>verbinder-V</w:t>
      </w:r>
      <w:r w:rsidR="00796895" w:rsidRPr="00DA14A5">
        <w:t xml:space="preserve">erguss </w:t>
      </w:r>
      <w:r w:rsidR="00FA6FDA">
        <w:t xml:space="preserve">im </w:t>
      </w:r>
      <w:r w:rsidR="00796895" w:rsidRPr="00DA14A5">
        <w:t>Automotive</w:t>
      </w:r>
      <w:r w:rsidR="00FA6FDA">
        <w:t>-Bereich</w:t>
      </w:r>
      <w:r w:rsidR="00796895" w:rsidRPr="00DA14A5">
        <w:t xml:space="preserve">. </w:t>
      </w:r>
      <w:r w:rsidR="00885DA8">
        <w:t>Der Einsatzort im Mo</w:t>
      </w:r>
      <w:r w:rsidR="00796895" w:rsidRPr="00DA14A5">
        <w:t>torrau</w:t>
      </w:r>
      <w:r w:rsidR="00885DA8">
        <w:t xml:space="preserve">m </w:t>
      </w:r>
      <w:r w:rsidR="00CF15E4">
        <w:t>verlangt</w:t>
      </w:r>
      <w:r w:rsidR="00796895" w:rsidRPr="00DA14A5">
        <w:t xml:space="preserve"> extreme Anforderungen an Dichtheit, Ölbeständigkeit und Temperatur</w:t>
      </w:r>
      <w:r w:rsidR="00CF15E4">
        <w:t>beständigkeit</w:t>
      </w:r>
      <w:r w:rsidR="00796895" w:rsidRPr="00DA14A5">
        <w:t>.</w:t>
      </w:r>
      <w:r w:rsidR="00CF15E4">
        <w:t xml:space="preserve"> </w:t>
      </w:r>
      <w:r w:rsidR="00796895" w:rsidRPr="00DA14A5">
        <w:t xml:space="preserve">Auch das Eindringen </w:t>
      </w:r>
      <w:r w:rsidR="00CF15E4">
        <w:t>von</w:t>
      </w:r>
      <w:r w:rsidR="00796895" w:rsidRPr="00DA14A5">
        <w:t xml:space="preserve"> Feuchtigkeit muss verhindert werden.</w:t>
      </w:r>
      <w:r w:rsidR="00CB0E34">
        <w:t xml:space="preserve"> Eine e</w:t>
      </w:r>
      <w:r w:rsidR="00796895" w:rsidRPr="00DA14A5">
        <w:t xml:space="preserve">xakte Füllmenge </w:t>
      </w:r>
      <w:r w:rsidR="00CB0E34">
        <w:t xml:space="preserve">im Vergussprozess ist zwingend erforderlich, um die </w:t>
      </w:r>
      <w:r w:rsidR="00796895" w:rsidRPr="00DA14A5">
        <w:t>Dichtfunktion zu gewährleisten</w:t>
      </w:r>
      <w:r w:rsidR="00CB0E34">
        <w:t xml:space="preserve">. </w:t>
      </w:r>
    </w:p>
    <w:p w14:paraId="321D4B17" w14:textId="77777777" w:rsidR="00D74C10" w:rsidRDefault="00D74C10" w:rsidP="00DA14A5">
      <w:pPr>
        <w:pStyle w:val="Presse-Fliesstext"/>
      </w:pPr>
    </w:p>
    <w:p w14:paraId="014846CC" w14:textId="33CA6FEE" w:rsidR="00703D6F" w:rsidRPr="00DA14A5" w:rsidRDefault="00FB4CF7" w:rsidP="00DA14A5">
      <w:pPr>
        <w:pStyle w:val="Presse-Fliesstext"/>
      </w:pPr>
      <w:r>
        <w:t xml:space="preserve">Aber auch in vielen anderen Bereichen von </w:t>
      </w:r>
      <w:r w:rsidR="00223A7E">
        <w:t>Consumer Electronics bis hin zu medizinischen Geräten</w:t>
      </w:r>
      <w:r w:rsidR="00BE708D">
        <w:t xml:space="preserve"> bzw. Komponenten</w:t>
      </w:r>
      <w:r w:rsidR="0024545E">
        <w:t xml:space="preserve"> – überall dort, </w:t>
      </w:r>
      <w:r w:rsidR="00703D6F" w:rsidRPr="001A610A">
        <w:t>wo Sensoren vor Umwelteinflüssen, Chemikalien</w:t>
      </w:r>
      <w:r w:rsidR="0024545E">
        <w:t>,</w:t>
      </w:r>
      <w:r w:rsidR="00703D6F" w:rsidRPr="001A610A">
        <w:t xml:space="preserve"> hohen Temperaturen </w:t>
      </w:r>
      <w:r w:rsidR="009A0F92">
        <w:t>oder</w:t>
      </w:r>
      <w:r w:rsidR="00703D6F" w:rsidRPr="001A610A">
        <w:t xml:space="preserve"> </w:t>
      </w:r>
      <w:r w:rsidR="009A0F92">
        <w:t xml:space="preserve">auch </w:t>
      </w:r>
      <w:r w:rsidR="00703D6F" w:rsidRPr="001A610A">
        <w:t>Öl und Benzin zu schützen sind</w:t>
      </w:r>
      <w:r w:rsidR="00831B3E">
        <w:t xml:space="preserve"> – </w:t>
      </w:r>
      <w:r w:rsidR="00445D23">
        <w:t xml:space="preserve">sind </w:t>
      </w:r>
      <w:r w:rsidR="005B777B">
        <w:t>absolut präzise Verguss Ergebnisse</w:t>
      </w:r>
      <w:r w:rsidR="00445D23">
        <w:t xml:space="preserve"> erforderlich</w:t>
      </w:r>
      <w:r w:rsidR="00E51F5C">
        <w:t>:</w:t>
      </w:r>
      <w:r w:rsidR="00445D23">
        <w:t xml:space="preserve"> </w:t>
      </w:r>
      <w:r w:rsidR="007B77D4">
        <w:t>Für ein</w:t>
      </w:r>
      <w:r w:rsidR="005B777B">
        <w:t xml:space="preserve">en </w:t>
      </w:r>
      <w:r w:rsidR="00703D6F" w:rsidRPr="00DA14A5">
        <w:t>erhebliche</w:t>
      </w:r>
      <w:r w:rsidR="005B777B">
        <w:t>n</w:t>
      </w:r>
      <w:r w:rsidR="00703D6F" w:rsidRPr="00DA14A5">
        <w:t xml:space="preserve"> Zugewinn an Prozesssicherheit</w:t>
      </w:r>
      <w:r w:rsidR="005B777B">
        <w:t xml:space="preserve"> und</w:t>
      </w:r>
      <w:r w:rsidR="00703D6F" w:rsidRPr="00DA14A5">
        <w:t xml:space="preserve"> Qualität</w:t>
      </w:r>
      <w:r w:rsidR="005B777B">
        <w:t xml:space="preserve">. </w:t>
      </w:r>
      <w:r w:rsidR="00E51F5C">
        <w:t>Und d</w:t>
      </w:r>
      <w:r w:rsidR="00703D6F" w:rsidRPr="00DA14A5">
        <w:t xml:space="preserve">urch </w:t>
      </w:r>
      <w:r w:rsidR="006535CF">
        <w:t>w</w:t>
      </w:r>
      <w:r w:rsidR="00703D6F" w:rsidRPr="00DA14A5">
        <w:t xml:space="preserve">iederholgenaues </w:t>
      </w:r>
      <w:r w:rsidR="006535CF">
        <w:t>V</w:t>
      </w:r>
      <w:r w:rsidR="00703D6F" w:rsidRPr="00DA14A5">
        <w:t>ergießen ohne Materialverschwendung</w:t>
      </w:r>
      <w:r w:rsidR="00E51F5C">
        <w:t xml:space="preserve"> werden zusätzlich Kosten</w:t>
      </w:r>
      <w:r w:rsidR="006535CF">
        <w:t xml:space="preserve"> reduziert</w:t>
      </w:r>
      <w:r w:rsidR="00703D6F" w:rsidRPr="00DA14A5">
        <w:t>.</w:t>
      </w:r>
      <w:bookmarkEnd w:id="0"/>
    </w:p>
    <w:p w14:paraId="4CD0B143" w14:textId="2ED6D3AA" w:rsidR="00703D6F" w:rsidRDefault="00703D6F" w:rsidP="00DA14A5">
      <w:pPr>
        <w:pStyle w:val="Presse-Fliesstext"/>
      </w:pPr>
    </w:p>
    <w:p w14:paraId="0282F069" w14:textId="77777777" w:rsidR="000F3B49" w:rsidRPr="00DA14A5" w:rsidRDefault="000F3B49" w:rsidP="00DA14A5">
      <w:pPr>
        <w:pStyle w:val="Presse-Fliesstext"/>
      </w:pPr>
    </w:p>
    <w:p w14:paraId="6B66C30E" w14:textId="1A146485" w:rsidR="00974CD8" w:rsidRPr="003F684A" w:rsidRDefault="002138E7" w:rsidP="00A1611B">
      <w:r>
        <w:t>2.691</w:t>
      </w:r>
      <w:r w:rsidR="00974CD8" w:rsidRPr="003F684A">
        <w:rPr>
          <w:color w:val="FF0000"/>
        </w:rPr>
        <w:t xml:space="preserve"> </w:t>
      </w:r>
      <w:r w:rsidR="00974CD8" w:rsidRPr="003F684A">
        <w:t>Zeichen inkl. Leerzeichen. Abdruck honorarfrei. Beleg erbeten.</w:t>
      </w:r>
    </w:p>
    <w:p w14:paraId="6055F0D0" w14:textId="313D2D41" w:rsidR="00974CD8" w:rsidRDefault="00974CD8" w:rsidP="00A1611B"/>
    <w:p w14:paraId="12FDD4BB" w14:textId="77777777" w:rsidR="000F3B49" w:rsidRPr="003F684A" w:rsidRDefault="000F3B49" w:rsidP="00A1611B"/>
    <w:p w14:paraId="5C0437CC" w14:textId="77777777" w:rsidR="00A1611B" w:rsidRPr="003F684A" w:rsidRDefault="00440F2B" w:rsidP="00A1611B">
      <w:pPr>
        <w:pStyle w:val="Untertitel"/>
      </w:pPr>
      <w:r w:rsidRPr="003F684A">
        <w:t>Bildmaterial</w:t>
      </w:r>
      <w:r w:rsidR="00A1611B" w:rsidRPr="003F684A">
        <w:t>:</w:t>
      </w:r>
    </w:p>
    <w:p w14:paraId="592F42E3" w14:textId="316F3180" w:rsidR="00D854F2" w:rsidRDefault="00E60967" w:rsidP="00530A93">
      <w:pPr>
        <w:pStyle w:val="Fliesstext"/>
      </w:pPr>
      <w:r>
        <w:rPr>
          <w:noProof/>
        </w:rPr>
        <w:drawing>
          <wp:inline distT="0" distB="0" distL="0" distR="0" wp14:anchorId="11CADB56" wp14:editId="6ECB6043">
            <wp:extent cx="2524125" cy="1690313"/>
            <wp:effectExtent l="19050" t="19050" r="9525" b="2476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538004" cy="1699607"/>
                    </a:xfrm>
                    <a:prstGeom prst="rect">
                      <a:avLst/>
                    </a:prstGeom>
                    <a:ln>
                      <a:solidFill>
                        <a:schemeClr val="accent1"/>
                      </a:solidFill>
                    </a:ln>
                  </pic:spPr>
                </pic:pic>
              </a:graphicData>
            </a:graphic>
          </wp:inline>
        </w:drawing>
      </w:r>
    </w:p>
    <w:p w14:paraId="6E0F5676" w14:textId="33EC3CC5" w:rsidR="00530A93" w:rsidRPr="004564B0" w:rsidRDefault="00E60967" w:rsidP="00530A93">
      <w:pPr>
        <w:pStyle w:val="Bildunterschrift"/>
      </w:pPr>
      <w:r w:rsidRPr="004564B0">
        <w:t xml:space="preserve">2K </w:t>
      </w:r>
      <w:proofErr w:type="spellStart"/>
      <w:r w:rsidRPr="004564B0">
        <w:t>Dispenserserie</w:t>
      </w:r>
      <w:proofErr w:type="spellEnd"/>
      <w:r w:rsidRPr="004564B0">
        <w:t xml:space="preserve"> </w:t>
      </w:r>
      <w:proofErr w:type="spellStart"/>
      <w:r w:rsidRPr="004564B0">
        <w:t>eco</w:t>
      </w:r>
      <w:proofErr w:type="spellEnd"/>
      <w:r w:rsidRPr="004564B0">
        <w:t xml:space="preserve">-DUO von </w:t>
      </w:r>
      <w:proofErr w:type="spellStart"/>
      <w:r w:rsidRPr="004564B0">
        <w:t>preeflow</w:t>
      </w:r>
      <w:proofErr w:type="spellEnd"/>
    </w:p>
    <w:p w14:paraId="65BE0B11" w14:textId="48107C8D" w:rsidR="00530A93" w:rsidRPr="00D854F2" w:rsidRDefault="00530A93" w:rsidP="00530A93">
      <w:pPr>
        <w:pStyle w:val="Fliesstext"/>
      </w:pPr>
    </w:p>
    <w:p w14:paraId="276047EE" w14:textId="6748F96C" w:rsidR="001E1153" w:rsidRDefault="001E1153" w:rsidP="00A1611B">
      <w:pPr>
        <w:pStyle w:val="Bildunterschrift"/>
      </w:pPr>
      <w:r>
        <w:rPr>
          <w:noProof/>
        </w:rPr>
        <w:lastRenderedPageBreak/>
        <w:drawing>
          <wp:inline distT="0" distB="0" distL="0" distR="0" wp14:anchorId="5AAC698F" wp14:editId="59207117">
            <wp:extent cx="1338518" cy="2009775"/>
            <wp:effectExtent l="19050" t="19050" r="1460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0146" cy="2012219"/>
                    </a:xfrm>
                    <a:prstGeom prst="rect">
                      <a:avLst/>
                    </a:prstGeom>
                    <a:noFill/>
                    <a:ln>
                      <a:solidFill>
                        <a:schemeClr val="accent1"/>
                      </a:solidFill>
                    </a:ln>
                  </pic:spPr>
                </pic:pic>
              </a:graphicData>
            </a:graphic>
          </wp:inline>
        </w:drawing>
      </w:r>
      <w:r>
        <w:t xml:space="preserve">  </w:t>
      </w:r>
      <w:r>
        <w:rPr>
          <w:noProof/>
        </w:rPr>
        <w:drawing>
          <wp:inline distT="0" distB="0" distL="0" distR="0" wp14:anchorId="75959932" wp14:editId="6887400B">
            <wp:extent cx="2998022" cy="2000174"/>
            <wp:effectExtent l="19050" t="19050" r="12065" b="196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19510" cy="2014510"/>
                    </a:xfrm>
                    <a:prstGeom prst="rect">
                      <a:avLst/>
                    </a:prstGeom>
                    <a:noFill/>
                    <a:ln>
                      <a:solidFill>
                        <a:schemeClr val="accent1"/>
                      </a:solidFill>
                    </a:ln>
                  </pic:spPr>
                </pic:pic>
              </a:graphicData>
            </a:graphic>
          </wp:inline>
        </w:drawing>
      </w:r>
    </w:p>
    <w:p w14:paraId="5435C23F" w14:textId="76AEC943" w:rsidR="00974CD8" w:rsidRPr="004564B0" w:rsidRDefault="009E6F2E" w:rsidP="00A1611B">
      <w:pPr>
        <w:pStyle w:val="Bildunterschrift"/>
      </w:pPr>
      <w:r>
        <w:t>Anwendungsbeispiel</w:t>
      </w:r>
      <w:r w:rsidR="00BE65AA">
        <w:t xml:space="preserve"> </w:t>
      </w:r>
      <w:r w:rsidR="004564B0">
        <w:t xml:space="preserve">Verguss von </w:t>
      </w:r>
      <w:r w:rsidR="00BE65AA" w:rsidRPr="004564B0">
        <w:t>Steckverbinder</w:t>
      </w:r>
      <w:r w:rsidR="004564B0" w:rsidRPr="004564B0">
        <w:t>n der Firma</w:t>
      </w:r>
      <w:r w:rsidRPr="004564B0">
        <w:t xml:space="preserve"> </w:t>
      </w:r>
      <w:hyperlink r:id="rId14" w:history="1">
        <w:r w:rsidR="004564B0" w:rsidRPr="00E113DA">
          <w:rPr>
            <w:rStyle w:val="Hyperlink"/>
          </w:rPr>
          <w:t>ODU GmbH &amp; Co. KG</w:t>
        </w:r>
      </w:hyperlink>
    </w:p>
    <w:p w14:paraId="0B224341" w14:textId="03233464" w:rsidR="00D73ADE" w:rsidRDefault="00D73ADE" w:rsidP="00A1611B">
      <w:pPr>
        <w:pStyle w:val="Bildunterschrift"/>
      </w:pPr>
    </w:p>
    <w:p w14:paraId="2D69C51A" w14:textId="77777777" w:rsidR="00D56D5D" w:rsidRPr="003F684A" w:rsidRDefault="00D56D5D" w:rsidP="00A1611B">
      <w:pPr>
        <w:pStyle w:val="Untertitel"/>
      </w:pPr>
      <w:r w:rsidRPr="003F684A">
        <w:t>Mikrodosierung in Perfektion!</w:t>
      </w:r>
    </w:p>
    <w:p w14:paraId="4DBB4498" w14:textId="77777777" w:rsidR="00D56D5D" w:rsidRPr="003F684A" w:rsidRDefault="003A23BF" w:rsidP="00A1611B">
      <w:proofErr w:type="spellStart"/>
      <w:r w:rsidRPr="003F684A">
        <w:t>preeflow</w:t>
      </w:r>
      <w:proofErr w:type="spellEnd"/>
      <w:r w:rsidRPr="003F684A">
        <w:rPr>
          <w:vertAlign w:val="superscript"/>
        </w:rPr>
        <w:t>®</w:t>
      </w:r>
      <w:r w:rsidRPr="003F684A">
        <w:t xml:space="preserve"> ist eine Marke der ViscoTec Pumpen- u. Dosiertechnik GmbH. ViscoTec beschäftigt sich vorwiegend mit Anlagen, die zur Förderung, Dosierung, Auftragung, Abfüllung und der Entnahme von mittelviskosen </w:t>
      </w:r>
      <w:proofErr w:type="gramStart"/>
      <w:r w:rsidRPr="003F684A">
        <w:t>bis hochviskosen Medien</w:t>
      </w:r>
      <w:proofErr w:type="gramEnd"/>
      <w:r w:rsidRPr="003F684A">
        <w:t xml:space="preserve"> benötigt werden. Der Hauptsitz des technologischen Marktführers ist in Töging (Oberbayern, Kreis Altötting). Darüber hinaus verfügt ViscoTec über Niederlassungen in den USA, in China, Singapur</w:t>
      </w:r>
      <w:r w:rsidR="004C6D87" w:rsidRPr="003F684A">
        <w:t>, Indien</w:t>
      </w:r>
      <w:r w:rsidRPr="003F684A">
        <w:t xml:space="preserve"> und </w:t>
      </w:r>
      <w:r w:rsidR="004C6D87" w:rsidRPr="003F684A">
        <w:t>Frankreich</w:t>
      </w:r>
      <w:r w:rsidRPr="003F684A">
        <w:t xml:space="preserve"> und beschäftigt weltweit rund </w:t>
      </w:r>
      <w:r w:rsidR="00BD6574" w:rsidRPr="003F684A">
        <w:t>2</w:t>
      </w:r>
      <w:r w:rsidR="005814C0" w:rsidRPr="003F684A">
        <w:t>6</w:t>
      </w:r>
      <w:r w:rsidR="00BD6574" w:rsidRPr="003F684A">
        <w:t>0</w:t>
      </w:r>
      <w:r w:rsidRPr="003F684A">
        <w:t xml:space="preserve"> Mitarbeiter. Die Marke </w:t>
      </w:r>
      <w:proofErr w:type="spellStart"/>
      <w:r w:rsidRPr="003F684A">
        <w:t>preeflow</w:t>
      </w:r>
      <w:proofErr w:type="spellEnd"/>
      <w:r w:rsidR="00440F2B" w:rsidRPr="003F684A">
        <w:rPr>
          <w:vertAlign w:val="superscript"/>
        </w:rPr>
        <w:t>®</w:t>
      </w:r>
      <w:r w:rsidRPr="003F684A">
        <w:t xml:space="preserve"> steht für präzises, rein volumetrisches Dosieren von Flüssigkeiten in Kleinstmengen und entstand im Jahr 2008. Weltweit werden </w:t>
      </w:r>
      <w:proofErr w:type="spellStart"/>
      <w:r w:rsidRPr="003F684A">
        <w:t>preeflow</w:t>
      </w:r>
      <w:proofErr w:type="spellEnd"/>
      <w:r w:rsidR="00440F2B" w:rsidRPr="003F684A">
        <w:rPr>
          <w:vertAlign w:val="superscript"/>
        </w:rPr>
        <w:t>®</w:t>
      </w:r>
      <w:r w:rsidRPr="003F684A">
        <w:t xml:space="preserve"> Produkte geschätzt, nicht zuletzt aufgrund einzigartiger Qualität – Made in Germany. Ein internationales Händlernetz bietet professionellen Service und Support rund um die </w:t>
      </w:r>
      <w:proofErr w:type="spellStart"/>
      <w:r w:rsidRPr="003F684A">
        <w:t>preeflow</w:t>
      </w:r>
      <w:proofErr w:type="spellEnd"/>
      <w:r w:rsidRPr="003F684A">
        <w:t xml:space="preserve"> Dosiersysteme. Die vielfältigen Anwendungsbereiche umfassen unter anderem die Branchen Automotive, Elektro- und Elektronikindustrie, Medizintechnik, Luft- und Raumfahrt, erneuerbare Energien, Elektro- und Hybridtechnik und Mess- und Sensortechnik. Alle </w:t>
      </w:r>
      <w:proofErr w:type="spellStart"/>
      <w:r w:rsidRPr="003F684A">
        <w:t>preeflow</w:t>
      </w:r>
      <w:proofErr w:type="spellEnd"/>
      <w:r w:rsidR="00440F2B" w:rsidRPr="003F684A">
        <w:rPr>
          <w:vertAlign w:val="superscript"/>
        </w:rPr>
        <w:t>®</w:t>
      </w:r>
      <w:r w:rsidRPr="003F684A">
        <w:t xml:space="preserve"> Systeme lassen sich dank standardisierter Schnittstellen einfach integrieren. Weltweit arbeiten über </w:t>
      </w:r>
      <w:r w:rsidR="004779ED" w:rsidRPr="003F684A">
        <w:t>2</w:t>
      </w:r>
      <w:r w:rsidRPr="003F684A">
        <w:t xml:space="preserve">0.000 </w:t>
      </w:r>
      <w:proofErr w:type="spellStart"/>
      <w:r w:rsidRPr="003F684A">
        <w:t>preeflow</w:t>
      </w:r>
      <w:proofErr w:type="spellEnd"/>
      <w:r w:rsidR="00440F2B" w:rsidRPr="003F684A">
        <w:rPr>
          <w:vertAlign w:val="superscript"/>
        </w:rPr>
        <w:t>®</w:t>
      </w:r>
      <w:r w:rsidRPr="003F684A">
        <w:t xml:space="preserve"> Systeme in halb- oder vollautomatischen Dosieranwendungen zur vollsten Zufriedenheit der Anwender und Kunden</w:t>
      </w:r>
      <w:r w:rsidR="008B0A02" w:rsidRPr="003F684A">
        <w:t>.</w:t>
      </w:r>
      <w:r w:rsidR="00D56D5D" w:rsidRPr="003F684A">
        <w:t xml:space="preserve"> </w:t>
      </w:r>
    </w:p>
    <w:p w14:paraId="2443665E" w14:textId="77777777" w:rsidR="00BD097C" w:rsidRPr="003F684A" w:rsidRDefault="00BD097C" w:rsidP="00A1611B"/>
    <w:p w14:paraId="4738F565" w14:textId="77777777" w:rsidR="00BD097C" w:rsidRPr="003F684A" w:rsidRDefault="00BD097C" w:rsidP="00A1611B">
      <w:pPr>
        <w:pStyle w:val="Untertitel"/>
      </w:pPr>
      <w:r w:rsidRPr="003F684A">
        <w:t>Pressekontakt:</w:t>
      </w:r>
    </w:p>
    <w:p w14:paraId="6F2AFBBB" w14:textId="77777777" w:rsidR="00BD097C" w:rsidRPr="003F684A" w:rsidRDefault="00BD097C" w:rsidP="00A1611B">
      <w:pPr>
        <w:spacing w:after="0"/>
      </w:pPr>
      <w:r w:rsidRPr="003F684A">
        <w:t xml:space="preserve">Thomas Diringer, Leiter Geschäftsfeld </w:t>
      </w:r>
      <w:r w:rsidR="005814C0" w:rsidRPr="003F684A">
        <w:t>Components &amp; Devices</w:t>
      </w:r>
    </w:p>
    <w:p w14:paraId="5F081F2E" w14:textId="77777777" w:rsidR="00BD097C" w:rsidRPr="003F684A" w:rsidRDefault="00BD097C" w:rsidP="00A1611B">
      <w:pPr>
        <w:spacing w:after="0"/>
      </w:pPr>
      <w:r w:rsidRPr="003F684A">
        <w:t>ViscoTec Pumpen- u. Dosiertechnik GmbH</w:t>
      </w:r>
    </w:p>
    <w:p w14:paraId="55A1176E"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200CAA22" w14:textId="77777777" w:rsidR="00BD097C" w:rsidRPr="003F684A" w:rsidRDefault="00BD097C" w:rsidP="00A1611B">
      <w:pPr>
        <w:spacing w:after="0"/>
      </w:pPr>
      <w:r w:rsidRPr="003F684A">
        <w:t xml:space="preserve">Telefon +49 8631 9274-441 </w:t>
      </w:r>
    </w:p>
    <w:p w14:paraId="20E7A5A8" w14:textId="77777777" w:rsidR="00BD097C" w:rsidRPr="003F684A" w:rsidRDefault="00BD097C" w:rsidP="00A1611B">
      <w:pPr>
        <w:spacing w:after="0"/>
      </w:pPr>
      <w:r w:rsidRPr="003F684A">
        <w:t>E-Mail: thomas.diringer@viscotec.de · www.preeflow.com</w:t>
      </w:r>
    </w:p>
    <w:p w14:paraId="71CAE68F" w14:textId="77777777" w:rsidR="00BD097C" w:rsidRPr="003F684A" w:rsidRDefault="00BD097C" w:rsidP="00A1611B">
      <w:pPr>
        <w:spacing w:after="0"/>
      </w:pPr>
    </w:p>
    <w:p w14:paraId="0FFBF590" w14:textId="77777777" w:rsidR="00BD097C" w:rsidRPr="003F684A" w:rsidRDefault="00EC704D" w:rsidP="00A1611B">
      <w:pPr>
        <w:spacing w:after="0"/>
      </w:pPr>
      <w:r w:rsidRPr="003F684A">
        <w:t>Melanie Hintereder</w:t>
      </w:r>
      <w:r w:rsidR="00BD097C" w:rsidRPr="003F684A">
        <w:t xml:space="preserve">, </w:t>
      </w:r>
      <w:r w:rsidRPr="003F684A">
        <w:t>M</w:t>
      </w:r>
      <w:r w:rsidR="00BD097C" w:rsidRPr="003F684A">
        <w:t>arketing</w:t>
      </w:r>
    </w:p>
    <w:p w14:paraId="5008414B" w14:textId="77777777" w:rsidR="00BD097C" w:rsidRPr="003F684A" w:rsidRDefault="00BD097C" w:rsidP="00A1611B">
      <w:pPr>
        <w:spacing w:after="0"/>
      </w:pPr>
      <w:r w:rsidRPr="003F684A">
        <w:t>ViscoTec Pumpen- u. Dosiertechnik GmbH</w:t>
      </w:r>
    </w:p>
    <w:p w14:paraId="67BDCBFC" w14:textId="77777777" w:rsidR="00BD097C" w:rsidRPr="003F684A" w:rsidRDefault="00BD097C" w:rsidP="00A1611B">
      <w:pPr>
        <w:spacing w:after="0"/>
      </w:pPr>
      <w:proofErr w:type="spellStart"/>
      <w:r w:rsidRPr="003F684A">
        <w:lastRenderedPageBreak/>
        <w:t>Amperstraße</w:t>
      </w:r>
      <w:proofErr w:type="spellEnd"/>
      <w:r w:rsidRPr="003F684A">
        <w:t xml:space="preserve"> 13, D-84513 Töging a. Inn</w:t>
      </w:r>
    </w:p>
    <w:p w14:paraId="77477868" w14:textId="77777777" w:rsidR="00BD097C" w:rsidRPr="003F684A" w:rsidRDefault="00BD097C" w:rsidP="00A1611B">
      <w:pPr>
        <w:spacing w:after="0"/>
      </w:pPr>
      <w:r w:rsidRPr="003F684A">
        <w:t>Telefon +49 8631 9274-4</w:t>
      </w:r>
      <w:r w:rsidR="00EC704D" w:rsidRPr="003F684A">
        <w:t>04</w:t>
      </w:r>
      <w:r w:rsidRPr="003F684A">
        <w:t xml:space="preserve"> </w:t>
      </w:r>
    </w:p>
    <w:p w14:paraId="6C9D3486" w14:textId="6159021F" w:rsidR="00207D48" w:rsidRPr="003F684A" w:rsidRDefault="00BD097C" w:rsidP="00C04ED7">
      <w:pPr>
        <w:spacing w:after="0"/>
      </w:pPr>
      <w:r w:rsidRPr="003F684A">
        <w:t xml:space="preserve">E-Mail: </w:t>
      </w:r>
      <w:r w:rsidR="00EC704D" w:rsidRPr="003F684A">
        <w:t>melanie.hintereder</w:t>
      </w:r>
      <w:r w:rsidRPr="003F684A">
        <w:t>@viscotec.de · www.viscotec.de</w:t>
      </w:r>
    </w:p>
    <w:sectPr w:rsidR="00207D48" w:rsidRPr="003F684A" w:rsidSect="00C82731">
      <w:headerReference w:type="default" r:id="rId15"/>
      <w:footerReference w:type="default" r:id="rId16"/>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5A7D9" w14:textId="77777777" w:rsidR="00B07BC9" w:rsidRDefault="00B07BC9" w:rsidP="00A1611B">
      <w:r>
        <w:separator/>
      </w:r>
    </w:p>
  </w:endnote>
  <w:endnote w:type="continuationSeparator" w:id="0">
    <w:p w14:paraId="066A4A05" w14:textId="77777777" w:rsidR="00B07BC9" w:rsidRDefault="00B07BC9" w:rsidP="00A1611B">
      <w:r>
        <w:continuationSeparator/>
      </w:r>
    </w:p>
  </w:endnote>
  <w:endnote w:type="continuationNotice" w:id="1">
    <w:p w14:paraId="26A729F9" w14:textId="77777777" w:rsidR="00B07BC9" w:rsidRDefault="00B07B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CEAB1" w14:textId="77777777" w:rsidR="00A1611B" w:rsidRPr="00A1611B" w:rsidRDefault="00A1611B" w:rsidP="00A1611B">
    <w:pPr>
      <w:spacing w:after="0" w:line="240" w:lineRule="auto"/>
      <w:rPr>
        <w:noProof/>
        <w:sz w:val="14"/>
        <w:szCs w:val="14"/>
      </w:rPr>
    </w:pPr>
  </w:p>
  <w:p w14:paraId="74C4491C"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58241" behindDoc="0" locked="0" layoutInCell="1" allowOverlap="1" wp14:anchorId="06BC776D" wp14:editId="073E407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4A116E9E"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2935BBF2" w14:textId="77777777" w:rsidR="00A1611B" w:rsidRPr="00A1611B" w:rsidRDefault="00A1611B" w:rsidP="00A1611B">
    <w:pPr>
      <w:spacing w:after="0" w:line="240" w:lineRule="auto"/>
      <w:rPr>
        <w:noProof/>
        <w:sz w:val="14"/>
        <w:szCs w:val="14"/>
      </w:rPr>
    </w:pPr>
  </w:p>
  <w:p w14:paraId="0D7807A9" w14:textId="77777777" w:rsidR="00C82731" w:rsidRPr="00A1611B" w:rsidRDefault="00C82731" w:rsidP="00A1611B">
    <w:pPr>
      <w:pStyle w:val="Fusszeile"/>
    </w:pPr>
    <w:r w:rsidRPr="00A1611B">
      <w:t>Stand: 0</w:t>
    </w:r>
    <w:r w:rsidR="00693441">
      <w:t>8</w:t>
    </w:r>
    <w:r w:rsidRPr="00A1611B">
      <w:t>.0</w:t>
    </w:r>
    <w:r w:rsidR="00693441">
      <w:t>1</w:t>
    </w:r>
    <w:r w:rsidRPr="00A1611B">
      <w:t>.20</w:t>
    </w:r>
    <w:r w:rsidR="00693441">
      <w:t>20</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50CAA294" w14:textId="77777777" w:rsidR="00A1611B" w:rsidRPr="00A1611B" w:rsidRDefault="00A1611B" w:rsidP="00A1611B">
    <w:pPr>
      <w:pStyle w:val="Fusszeile"/>
    </w:pPr>
  </w:p>
  <w:p w14:paraId="08CBECD9"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1249F596"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AA713" w14:textId="77777777" w:rsidR="00B07BC9" w:rsidRDefault="00B07BC9" w:rsidP="00A1611B">
      <w:r>
        <w:separator/>
      </w:r>
    </w:p>
  </w:footnote>
  <w:footnote w:type="continuationSeparator" w:id="0">
    <w:p w14:paraId="7D24402E" w14:textId="77777777" w:rsidR="00B07BC9" w:rsidRDefault="00B07BC9" w:rsidP="00A1611B">
      <w:r>
        <w:continuationSeparator/>
      </w:r>
    </w:p>
  </w:footnote>
  <w:footnote w:type="continuationNotice" w:id="1">
    <w:p w14:paraId="29A1BAA3" w14:textId="77777777" w:rsidR="00B07BC9" w:rsidRDefault="00B07B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563F1"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41AB0C97" wp14:editId="5A0ED98A">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36F81AC0" w14:textId="77777777" w:rsidR="006B78C4" w:rsidRDefault="006B78C4" w:rsidP="00A1611B">
    <w:pPr>
      <w:pStyle w:val="Kopfzeile"/>
    </w:pPr>
  </w:p>
  <w:p w14:paraId="6726F783" w14:textId="77777777" w:rsidR="006B78C4" w:rsidRDefault="006B78C4" w:rsidP="00A1611B">
    <w:pPr>
      <w:pStyle w:val="Kopfzeile"/>
    </w:pPr>
  </w:p>
  <w:p w14:paraId="5CF24C88" w14:textId="77777777" w:rsidR="006B78C4" w:rsidRDefault="006B78C4" w:rsidP="00A1611B">
    <w:pPr>
      <w:pStyle w:val="Kopfzeile"/>
    </w:pPr>
  </w:p>
  <w:p w14:paraId="566EE57B" w14:textId="77777777" w:rsidR="006B78C4" w:rsidRDefault="006B78C4" w:rsidP="00A1611B">
    <w:pPr>
      <w:pStyle w:val="Kopfzeile"/>
    </w:pPr>
  </w:p>
  <w:p w14:paraId="776684FC" w14:textId="77777777" w:rsidR="006B78C4" w:rsidRPr="00BD6574" w:rsidRDefault="006B78C4" w:rsidP="00A1611B">
    <w:pPr>
      <w:pStyle w:val="KopfzeileHeadline"/>
    </w:pPr>
    <w:r w:rsidRPr="00BD6574">
      <w:t>PRESSEMITTEILUNG</w:t>
    </w:r>
  </w:p>
  <w:p w14:paraId="3308A791" w14:textId="77777777" w:rsidR="006B78C4" w:rsidRDefault="006B78C4" w:rsidP="00A1611B">
    <w:pPr>
      <w:pStyle w:val="Kopfzeile"/>
    </w:pPr>
  </w:p>
  <w:p w14:paraId="6E112E6E" w14:textId="77777777" w:rsidR="006B78C4" w:rsidRDefault="006B78C4" w:rsidP="00A1611B">
    <w:pPr>
      <w:pStyle w:val="Kopfzeile"/>
    </w:pPr>
  </w:p>
  <w:p w14:paraId="242F1A1D"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496DDE"/>
    <w:multiLevelType w:val="hybridMultilevel"/>
    <w:tmpl w:val="5A4EF4F4"/>
    <w:lvl w:ilvl="0" w:tplc="D5F82A8C">
      <w:start w:val="1"/>
      <w:numFmt w:val="bullet"/>
      <w:lvlText w:val="▪"/>
      <w:lvlJc w:val="left"/>
      <w:pPr>
        <w:ind w:left="720" w:hanging="360"/>
      </w:pPr>
      <w:rPr>
        <w:rFonts w:ascii="Arial" w:hAnsi="Arial" w:cs="Times New Roman"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68034A9"/>
    <w:multiLevelType w:val="hybridMultilevel"/>
    <w:tmpl w:val="E92CF87A"/>
    <w:lvl w:ilvl="0" w:tplc="D5F82A8C">
      <w:start w:val="1"/>
      <w:numFmt w:val="bullet"/>
      <w:lvlText w:val="▪"/>
      <w:lvlJc w:val="left"/>
      <w:pPr>
        <w:ind w:left="720" w:hanging="360"/>
      </w:pPr>
      <w:rPr>
        <w:rFonts w:ascii="Arial" w:hAnsi="Arial" w:cs="Times New Roman"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60835CCF"/>
    <w:multiLevelType w:val="hybridMultilevel"/>
    <w:tmpl w:val="C38696EE"/>
    <w:lvl w:ilvl="0" w:tplc="D5F82A8C">
      <w:start w:val="1"/>
      <w:numFmt w:val="bullet"/>
      <w:lvlText w:val="▪"/>
      <w:lvlJc w:val="left"/>
      <w:pPr>
        <w:ind w:left="720" w:hanging="360"/>
      </w:pPr>
      <w:rPr>
        <w:rFonts w:ascii="Arial" w:hAnsi="Arial" w:cs="Times New Roman" w:hint="default"/>
        <w:color w:val="009DE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D6F"/>
    <w:rsid w:val="000044E6"/>
    <w:rsid w:val="00032EE4"/>
    <w:rsid w:val="00050671"/>
    <w:rsid w:val="00051241"/>
    <w:rsid w:val="0007129F"/>
    <w:rsid w:val="000B283B"/>
    <w:rsid w:val="000B44E6"/>
    <w:rsid w:val="000C6AA4"/>
    <w:rsid w:val="000D6A85"/>
    <w:rsid w:val="000D7869"/>
    <w:rsid w:val="000E7039"/>
    <w:rsid w:val="000F3990"/>
    <w:rsid w:val="000F3B49"/>
    <w:rsid w:val="00100CE6"/>
    <w:rsid w:val="001179C6"/>
    <w:rsid w:val="00144EB7"/>
    <w:rsid w:val="00165813"/>
    <w:rsid w:val="00172C8C"/>
    <w:rsid w:val="0019178B"/>
    <w:rsid w:val="001A610A"/>
    <w:rsid w:val="001C5BFE"/>
    <w:rsid w:val="001D58A2"/>
    <w:rsid w:val="001E1153"/>
    <w:rsid w:val="001E54EC"/>
    <w:rsid w:val="00207D48"/>
    <w:rsid w:val="00213097"/>
    <w:rsid w:val="002138E7"/>
    <w:rsid w:val="00214BE3"/>
    <w:rsid w:val="00216DE4"/>
    <w:rsid w:val="002238A8"/>
    <w:rsid w:val="00223A7E"/>
    <w:rsid w:val="0024106E"/>
    <w:rsid w:val="0024545E"/>
    <w:rsid w:val="00253463"/>
    <w:rsid w:val="00281589"/>
    <w:rsid w:val="00296785"/>
    <w:rsid w:val="002A017D"/>
    <w:rsid w:val="002B4444"/>
    <w:rsid w:val="002C1B58"/>
    <w:rsid w:val="00304C95"/>
    <w:rsid w:val="00346F0D"/>
    <w:rsid w:val="003857C3"/>
    <w:rsid w:val="003A23BF"/>
    <w:rsid w:val="003B26FA"/>
    <w:rsid w:val="003F684A"/>
    <w:rsid w:val="00406C81"/>
    <w:rsid w:val="004321BE"/>
    <w:rsid w:val="00440F2B"/>
    <w:rsid w:val="004443E6"/>
    <w:rsid w:val="00445D23"/>
    <w:rsid w:val="004564B0"/>
    <w:rsid w:val="004779ED"/>
    <w:rsid w:val="004A1FA8"/>
    <w:rsid w:val="004B5661"/>
    <w:rsid w:val="004B6726"/>
    <w:rsid w:val="004C6D87"/>
    <w:rsid w:val="004F0705"/>
    <w:rsid w:val="00502B11"/>
    <w:rsid w:val="0050565F"/>
    <w:rsid w:val="005135D8"/>
    <w:rsid w:val="00530A93"/>
    <w:rsid w:val="005814C0"/>
    <w:rsid w:val="00590CDE"/>
    <w:rsid w:val="00592CA1"/>
    <w:rsid w:val="00594563"/>
    <w:rsid w:val="005B777B"/>
    <w:rsid w:val="005D4AA3"/>
    <w:rsid w:val="0060381D"/>
    <w:rsid w:val="00610C87"/>
    <w:rsid w:val="00613B1E"/>
    <w:rsid w:val="00652C08"/>
    <w:rsid w:val="006535CF"/>
    <w:rsid w:val="00671A1F"/>
    <w:rsid w:val="00693441"/>
    <w:rsid w:val="006B78C4"/>
    <w:rsid w:val="006C6AE2"/>
    <w:rsid w:val="006E2BC6"/>
    <w:rsid w:val="006E5C4C"/>
    <w:rsid w:val="00703D6F"/>
    <w:rsid w:val="007147A7"/>
    <w:rsid w:val="00744B8B"/>
    <w:rsid w:val="00756476"/>
    <w:rsid w:val="00763910"/>
    <w:rsid w:val="00782414"/>
    <w:rsid w:val="0079149C"/>
    <w:rsid w:val="00791C50"/>
    <w:rsid w:val="00793635"/>
    <w:rsid w:val="00796895"/>
    <w:rsid w:val="007B77D4"/>
    <w:rsid w:val="007C6E88"/>
    <w:rsid w:val="007D0658"/>
    <w:rsid w:val="007E6CA0"/>
    <w:rsid w:val="00800214"/>
    <w:rsid w:val="00831B3E"/>
    <w:rsid w:val="00852DE7"/>
    <w:rsid w:val="00865BBE"/>
    <w:rsid w:val="0087508C"/>
    <w:rsid w:val="00885DA8"/>
    <w:rsid w:val="008A3F95"/>
    <w:rsid w:val="008B0A02"/>
    <w:rsid w:val="008E46F3"/>
    <w:rsid w:val="008F388C"/>
    <w:rsid w:val="00970D85"/>
    <w:rsid w:val="00974CD8"/>
    <w:rsid w:val="00992BE1"/>
    <w:rsid w:val="009A0F92"/>
    <w:rsid w:val="009A6CE5"/>
    <w:rsid w:val="009B27D2"/>
    <w:rsid w:val="009D0A72"/>
    <w:rsid w:val="009E6F2E"/>
    <w:rsid w:val="00A02963"/>
    <w:rsid w:val="00A1611B"/>
    <w:rsid w:val="00A23D8E"/>
    <w:rsid w:val="00A66F27"/>
    <w:rsid w:val="00A85B1D"/>
    <w:rsid w:val="00AC080F"/>
    <w:rsid w:val="00AC3C96"/>
    <w:rsid w:val="00AE0B15"/>
    <w:rsid w:val="00AF2D9B"/>
    <w:rsid w:val="00B07BC9"/>
    <w:rsid w:val="00B1746D"/>
    <w:rsid w:val="00B60D2C"/>
    <w:rsid w:val="00B64BBB"/>
    <w:rsid w:val="00B652B3"/>
    <w:rsid w:val="00B844CF"/>
    <w:rsid w:val="00BD0785"/>
    <w:rsid w:val="00BD097C"/>
    <w:rsid w:val="00BD6574"/>
    <w:rsid w:val="00BE5D7F"/>
    <w:rsid w:val="00BE65AA"/>
    <w:rsid w:val="00BE708D"/>
    <w:rsid w:val="00C0482A"/>
    <w:rsid w:val="00C04ED7"/>
    <w:rsid w:val="00C135DE"/>
    <w:rsid w:val="00C30F25"/>
    <w:rsid w:val="00C82731"/>
    <w:rsid w:val="00C83E1A"/>
    <w:rsid w:val="00C93794"/>
    <w:rsid w:val="00CB0E34"/>
    <w:rsid w:val="00CD306B"/>
    <w:rsid w:val="00CD3797"/>
    <w:rsid w:val="00CF0446"/>
    <w:rsid w:val="00CF08AA"/>
    <w:rsid w:val="00CF15E4"/>
    <w:rsid w:val="00D11206"/>
    <w:rsid w:val="00D130D4"/>
    <w:rsid w:val="00D16D0B"/>
    <w:rsid w:val="00D505E0"/>
    <w:rsid w:val="00D520FF"/>
    <w:rsid w:val="00D56D5D"/>
    <w:rsid w:val="00D73ADE"/>
    <w:rsid w:val="00D74C10"/>
    <w:rsid w:val="00D844A5"/>
    <w:rsid w:val="00D854F2"/>
    <w:rsid w:val="00D87711"/>
    <w:rsid w:val="00DA14A5"/>
    <w:rsid w:val="00DF6847"/>
    <w:rsid w:val="00E113DA"/>
    <w:rsid w:val="00E230E9"/>
    <w:rsid w:val="00E25147"/>
    <w:rsid w:val="00E51F5C"/>
    <w:rsid w:val="00E60967"/>
    <w:rsid w:val="00E9278F"/>
    <w:rsid w:val="00EB69BA"/>
    <w:rsid w:val="00EC704D"/>
    <w:rsid w:val="00ED3E57"/>
    <w:rsid w:val="00ED6BB9"/>
    <w:rsid w:val="00EF7AD4"/>
    <w:rsid w:val="00F01D1A"/>
    <w:rsid w:val="00F131E0"/>
    <w:rsid w:val="00F51DEC"/>
    <w:rsid w:val="00F60121"/>
    <w:rsid w:val="00F61FBE"/>
    <w:rsid w:val="00F83E77"/>
    <w:rsid w:val="00FA6FDA"/>
    <w:rsid w:val="00FB4C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32C09"/>
  <w15:docId w15:val="{95E86215-C0CC-4992-8D9B-2C03E03F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6726"/>
    <w:pPr>
      <w:jc w:val="both"/>
    </w:pPr>
    <w:rPr>
      <w:rFonts w:ascii="Arial" w:hAnsi="Arial" w:cs="Arial"/>
    </w:rPr>
  </w:style>
  <w:style w:type="paragraph" w:styleId="berschrift1">
    <w:name w:val="heading 1"/>
    <w:basedOn w:val="Standard"/>
    <w:next w:val="Standard"/>
    <w:link w:val="berschrift1Zchn"/>
    <w:uiPriority w:val="9"/>
    <w:qFormat/>
    <w:rsid w:val="004B6726"/>
    <w:pPr>
      <w:spacing w:after="0" w:line="360" w:lineRule="auto"/>
      <w:ind w:right="1418"/>
      <w:outlineLvl w:val="0"/>
    </w:pPr>
    <w:rPr>
      <w:b/>
      <w:sz w:val="28"/>
      <w:szCs w:val="28"/>
    </w:rPr>
  </w:style>
  <w:style w:type="paragraph" w:styleId="berschrift3">
    <w:name w:val="heading 3"/>
    <w:basedOn w:val="Standard"/>
    <w:next w:val="Standard"/>
    <w:link w:val="berschrift3Zchn"/>
    <w:uiPriority w:val="9"/>
    <w:semiHidden/>
    <w:unhideWhenUsed/>
    <w:qFormat/>
    <w:rsid w:val="00703D6F"/>
    <w:pPr>
      <w:keepNext/>
      <w:keepLines/>
      <w:spacing w:before="40" w:after="0"/>
      <w:outlineLvl w:val="2"/>
    </w:pPr>
    <w:rPr>
      <w:rFonts w:asciiTheme="majorHAnsi" w:eastAsiaTheme="majorEastAsia" w:hAnsiTheme="majorHAnsi" w:cstheme="majorBidi"/>
      <w:color w:val="004D6F"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4B6726"/>
    <w:rPr>
      <w:rFonts w:ascii="Arial" w:hAnsi="Arial" w:cs="Arial"/>
      <w:b/>
      <w:sz w:val="28"/>
      <w:szCs w:val="28"/>
    </w:rPr>
  </w:style>
  <w:style w:type="paragraph" w:styleId="Untertitel">
    <w:name w:val="Subtitle"/>
    <w:basedOn w:val="Standard"/>
    <w:next w:val="Standard"/>
    <w:link w:val="UntertitelZchn"/>
    <w:uiPriority w:val="11"/>
    <w:qFormat/>
    <w:rsid w:val="004B6726"/>
    <w:pPr>
      <w:spacing w:after="0" w:line="360" w:lineRule="auto"/>
      <w:ind w:right="1418"/>
    </w:pPr>
    <w:rPr>
      <w:b/>
    </w:rPr>
  </w:style>
  <w:style w:type="character" w:customStyle="1" w:styleId="UntertitelZchn">
    <w:name w:val="Untertitel Zchn"/>
    <w:basedOn w:val="Absatz-Standardschriftart"/>
    <w:link w:val="Untertitel"/>
    <w:uiPriority w:val="11"/>
    <w:rsid w:val="004B6726"/>
    <w:rPr>
      <w:rFonts w:ascii="Arial" w:hAnsi="Arial" w:cs="Arial"/>
      <w:b/>
    </w:rPr>
  </w:style>
  <w:style w:type="paragraph" w:customStyle="1" w:styleId="Bildunterschrift">
    <w:name w:val="Bildunterschrift"/>
    <w:basedOn w:val="StandardWeb"/>
    <w:link w:val="BildunterschriftZchn"/>
    <w:qFormat/>
    <w:rsid w:val="004B6726"/>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4B6726"/>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4B6726"/>
    <w:rPr>
      <w:rFonts w:ascii="Arial" w:eastAsia="Times New Roman" w:hAnsi="Arial" w:cs="Arial"/>
      <w:i/>
      <w:sz w:val="18"/>
      <w:szCs w:val="18"/>
      <w:lang w:eastAsia="de-DE"/>
    </w:rPr>
  </w:style>
  <w:style w:type="paragraph" w:customStyle="1" w:styleId="Fusszeile">
    <w:name w:val="Fusszeile"/>
    <w:basedOn w:val="Standard"/>
    <w:link w:val="FusszeileZchn"/>
    <w:qFormat/>
    <w:rsid w:val="004B6726"/>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4B6726"/>
    <w:rPr>
      <w:rFonts w:ascii="Arial" w:hAnsi="Arial" w:cs="Arial"/>
    </w:rPr>
  </w:style>
  <w:style w:type="character" w:customStyle="1" w:styleId="FusszeileZchn">
    <w:name w:val="Fusszeile Zchn"/>
    <w:basedOn w:val="Absatz-Standardschriftart"/>
    <w:link w:val="Fusszeile"/>
    <w:rsid w:val="004B6726"/>
    <w:rPr>
      <w:rFonts w:ascii="Arial" w:hAnsi="Arial" w:cs="Arial"/>
      <w:noProof/>
      <w:sz w:val="14"/>
      <w:szCs w:val="14"/>
    </w:rPr>
  </w:style>
  <w:style w:type="paragraph" w:customStyle="1" w:styleId="KopfzeileHeadline">
    <w:name w:val="Kopfzeile Headline"/>
    <w:basedOn w:val="Kopfzeile"/>
    <w:link w:val="KopfzeileHeadlineZchn"/>
    <w:qFormat/>
    <w:rsid w:val="004B6726"/>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4B6726"/>
    <w:rPr>
      <w:rFonts w:ascii="Arial" w:hAnsi="Arial" w:cs="Arial"/>
      <w:b/>
      <w:color w:val="009DE0"/>
      <w:sz w:val="32"/>
      <w:szCs w:val="32"/>
    </w:rPr>
  </w:style>
  <w:style w:type="paragraph" w:customStyle="1" w:styleId="Headline1">
    <w:name w:val="Headline 1"/>
    <w:basedOn w:val="berschrift1"/>
    <w:link w:val="Headline1Zchn"/>
    <w:qFormat/>
    <w:rsid w:val="00703D6F"/>
    <w:pPr>
      <w:keepNext/>
      <w:spacing w:before="240" w:after="60" w:line="240" w:lineRule="auto"/>
      <w:ind w:right="0"/>
      <w:jc w:val="left"/>
    </w:pPr>
    <w:rPr>
      <w:rFonts w:eastAsia="Times New Roman"/>
      <w:bCs/>
      <w:kern w:val="32"/>
      <w:sz w:val="32"/>
      <w:szCs w:val="32"/>
      <w:lang w:eastAsia="de-DE"/>
    </w:rPr>
  </w:style>
  <w:style w:type="paragraph" w:customStyle="1" w:styleId="Subheadline">
    <w:name w:val="Subheadline"/>
    <w:basedOn w:val="berschrift3"/>
    <w:link w:val="SubheadlineZchn"/>
    <w:qFormat/>
    <w:rsid w:val="00703D6F"/>
    <w:pPr>
      <w:keepLines w:val="0"/>
      <w:spacing w:before="240" w:after="60" w:line="240" w:lineRule="auto"/>
      <w:jc w:val="left"/>
    </w:pPr>
    <w:rPr>
      <w:rFonts w:ascii="Arial" w:eastAsia="Times New Roman" w:hAnsi="Arial" w:cs="Arial"/>
      <w:b/>
      <w:bCs/>
      <w:color w:val="auto"/>
      <w:sz w:val="22"/>
      <w:szCs w:val="22"/>
      <w:lang w:eastAsia="de-DE"/>
    </w:rPr>
  </w:style>
  <w:style w:type="character" w:customStyle="1" w:styleId="Headline1Zchn">
    <w:name w:val="Headline 1 Zchn"/>
    <w:basedOn w:val="Absatz-Standardschriftart"/>
    <w:link w:val="Headline1"/>
    <w:rsid w:val="00703D6F"/>
    <w:rPr>
      <w:rFonts w:ascii="Arial" w:eastAsia="Times New Roman" w:hAnsi="Arial" w:cs="Arial"/>
      <w:b/>
      <w:bCs/>
      <w:kern w:val="32"/>
      <w:sz w:val="32"/>
      <w:szCs w:val="32"/>
      <w:lang w:eastAsia="de-DE"/>
    </w:rPr>
  </w:style>
  <w:style w:type="paragraph" w:customStyle="1" w:styleId="Fliesstext">
    <w:name w:val="Fliesstext"/>
    <w:basedOn w:val="Standard"/>
    <w:link w:val="FliesstextZchn"/>
    <w:qFormat/>
    <w:rsid w:val="00703D6F"/>
    <w:pPr>
      <w:spacing w:after="0" w:line="240" w:lineRule="auto"/>
      <w:jc w:val="left"/>
    </w:pPr>
    <w:rPr>
      <w:rFonts w:eastAsia="Times New Roman" w:cs="Times New Roman"/>
      <w:szCs w:val="24"/>
      <w:lang w:eastAsia="de-DE"/>
    </w:rPr>
  </w:style>
  <w:style w:type="character" w:customStyle="1" w:styleId="SubheadlineZchn">
    <w:name w:val="Subheadline Zchn"/>
    <w:basedOn w:val="Absatz-Standardschriftart"/>
    <w:link w:val="Subheadline"/>
    <w:rsid w:val="00703D6F"/>
    <w:rPr>
      <w:rFonts w:ascii="Arial" w:eastAsia="Times New Roman" w:hAnsi="Arial" w:cs="Arial"/>
      <w:b/>
      <w:bCs/>
      <w:lang w:eastAsia="de-DE"/>
    </w:rPr>
  </w:style>
  <w:style w:type="character" w:customStyle="1" w:styleId="FliesstextZchn">
    <w:name w:val="Fliesstext Zchn"/>
    <w:basedOn w:val="Absatz-Standardschriftart"/>
    <w:link w:val="Fliesstext"/>
    <w:rsid w:val="00703D6F"/>
    <w:rPr>
      <w:rFonts w:ascii="Arial" w:eastAsia="Times New Roman" w:hAnsi="Arial" w:cs="Times New Roman"/>
      <w:szCs w:val="24"/>
      <w:lang w:eastAsia="de-DE"/>
    </w:rPr>
  </w:style>
  <w:style w:type="paragraph" w:styleId="Listenabsatz">
    <w:name w:val="List Paragraph"/>
    <w:basedOn w:val="Standard"/>
    <w:link w:val="ListenabsatzZchn"/>
    <w:uiPriority w:val="34"/>
    <w:qFormat/>
    <w:rsid w:val="00703D6F"/>
    <w:pPr>
      <w:spacing w:after="0" w:line="240" w:lineRule="auto"/>
      <w:ind w:left="720"/>
      <w:contextualSpacing/>
      <w:jc w:val="left"/>
    </w:pPr>
    <w:rPr>
      <w:rFonts w:eastAsia="Times New Roman" w:cs="Times New Roman"/>
      <w:szCs w:val="24"/>
      <w:lang w:eastAsia="de-DE"/>
    </w:rPr>
  </w:style>
  <w:style w:type="character" w:customStyle="1" w:styleId="ListenabsatzZchn">
    <w:name w:val="Listenabsatz Zchn"/>
    <w:basedOn w:val="Absatz-Standardschriftart"/>
    <w:link w:val="Listenabsatz"/>
    <w:uiPriority w:val="34"/>
    <w:locked/>
    <w:rsid w:val="00703D6F"/>
    <w:rPr>
      <w:rFonts w:ascii="Arial" w:eastAsia="Times New Roman" w:hAnsi="Arial" w:cs="Times New Roman"/>
      <w:szCs w:val="24"/>
      <w:lang w:eastAsia="de-DE"/>
    </w:rPr>
  </w:style>
  <w:style w:type="character" w:customStyle="1" w:styleId="berschrift3Zchn">
    <w:name w:val="Überschrift 3 Zchn"/>
    <w:basedOn w:val="Absatz-Standardschriftart"/>
    <w:link w:val="berschrift3"/>
    <w:uiPriority w:val="9"/>
    <w:semiHidden/>
    <w:rsid w:val="00703D6F"/>
    <w:rPr>
      <w:rFonts w:asciiTheme="majorHAnsi" w:eastAsiaTheme="majorEastAsia" w:hAnsiTheme="majorHAnsi" w:cstheme="majorBidi"/>
      <w:color w:val="004D6F" w:themeColor="accent1" w:themeShade="7F"/>
      <w:sz w:val="24"/>
      <w:szCs w:val="24"/>
    </w:rPr>
  </w:style>
  <w:style w:type="character" w:styleId="NichtaufgelsteErwhnung">
    <w:name w:val="Unresolved Mention"/>
    <w:basedOn w:val="Absatz-Standardschriftart"/>
    <w:uiPriority w:val="99"/>
    <w:semiHidden/>
    <w:unhideWhenUsed/>
    <w:rsid w:val="00D11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du.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DE.dotx" TargetMode="External"/></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DAE0B-9516-4D1D-A473-3D312B6540F3}">
  <ds:schemaRefs>
    <ds:schemaRef ds:uri="http://schemas.microsoft.com/sharepoint/v3/contenttype/forms"/>
  </ds:schemaRefs>
</ds:datastoreItem>
</file>

<file path=customXml/itemProps2.xml><?xml version="1.0" encoding="utf-8"?>
<ds:datastoreItem xmlns:ds="http://schemas.openxmlformats.org/officeDocument/2006/customXml" ds:itemID="{EBA2B256-4176-415E-9EB3-F5B2499319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F0B71B8-60F9-4688-BA81-F752998BD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CE9D24-FCA5-4C91-B123-0A2576823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4</Pages>
  <Words>641</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Hintereder, Melanie</dc:creator>
  <cp:keywords/>
  <cp:lastModifiedBy>Schauer, Stefan</cp:lastModifiedBy>
  <cp:revision>98</cp:revision>
  <dcterms:created xsi:type="dcterms:W3CDTF">2020-09-21T14:59:00Z</dcterms:created>
  <dcterms:modified xsi:type="dcterms:W3CDTF">2020-10-23T10:21:00Z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1223400</vt:r8>
  </property>
</Properties>
</file>