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3CBAA" w14:textId="77777777" w:rsidR="00453EE2" w:rsidRDefault="00453EE2" w:rsidP="00453EE2">
      <w:pPr>
        <w:pStyle w:val="Headline1"/>
        <w:rPr>
          <w:lang w:val="fr-FR"/>
        </w:rPr>
      </w:pPr>
      <w:bookmarkStart w:id="0" w:name="_Hlk517093228"/>
      <w:r w:rsidRPr="000951ED">
        <w:rPr>
          <w:sz w:val="28"/>
          <w:szCs w:val="28"/>
          <w:lang w:val="fr-FR"/>
        </w:rPr>
        <w:t>L’encapsulation de connecteurs miniatures</w:t>
      </w:r>
    </w:p>
    <w:p w14:paraId="53090A21" w14:textId="77777777" w:rsidR="00453EE2" w:rsidRDefault="00453EE2" w:rsidP="00453EE2">
      <w:pPr>
        <w:pStyle w:val="Headline1"/>
        <w:rPr>
          <w:lang w:val="fr-FR"/>
        </w:rPr>
      </w:pPr>
    </w:p>
    <w:p w14:paraId="6AC15E5B" w14:textId="66BC4FA1" w:rsidR="00453EE2" w:rsidRDefault="00453EE2" w:rsidP="00453EE2">
      <w:pPr>
        <w:pStyle w:val="Subheadline"/>
        <w:rPr>
          <w:lang w:val="fr-FR"/>
        </w:rPr>
      </w:pPr>
      <w:r w:rsidRPr="000951ED">
        <w:rPr>
          <w:lang w:val="fr-FR"/>
        </w:rPr>
        <w:t>Un dosage haute précision pour un</w:t>
      </w:r>
      <w:r>
        <w:rPr>
          <w:lang w:val="fr-FR"/>
        </w:rPr>
        <w:t xml:space="preserve"> p</w:t>
      </w:r>
      <w:r w:rsidRPr="000951ED">
        <w:rPr>
          <w:lang w:val="fr-FR"/>
        </w:rPr>
        <w:t>rocessus</w:t>
      </w:r>
      <w:r>
        <w:rPr>
          <w:lang w:val="fr-FR"/>
        </w:rPr>
        <w:t xml:space="preserve"> totalement fiable</w:t>
      </w:r>
    </w:p>
    <w:p w14:paraId="6147B1AC" w14:textId="1677F9B0" w:rsidR="00453EE2" w:rsidRDefault="00453EE2" w:rsidP="00453EE2">
      <w:pPr>
        <w:pStyle w:val="Subheadline"/>
        <w:rPr>
          <w:lang w:val="fr-FR"/>
        </w:rPr>
      </w:pPr>
    </w:p>
    <w:p w14:paraId="13B2A57D" w14:textId="77777777" w:rsidR="00453EE2" w:rsidRDefault="00453EE2" w:rsidP="00453EE2">
      <w:pPr>
        <w:pStyle w:val="Subheadline"/>
        <w:rPr>
          <w:lang w:val="fr-FR"/>
        </w:rPr>
      </w:pPr>
    </w:p>
    <w:p w14:paraId="174DB9AE" w14:textId="77777777" w:rsidR="00453EE2" w:rsidRDefault="00453EE2" w:rsidP="00453EE2">
      <w:pPr>
        <w:pStyle w:val="Subheadline"/>
        <w:rPr>
          <w:lang w:val="fr-FR"/>
        </w:rPr>
      </w:pPr>
    </w:p>
    <w:p w14:paraId="1BD8FBEA" w14:textId="77777777" w:rsidR="00453EE2" w:rsidRDefault="00453EE2" w:rsidP="00453EE2">
      <w:pPr>
        <w:pStyle w:val="Presse-Fliesstext"/>
        <w:rPr>
          <w:lang w:val="fr-FR"/>
        </w:rPr>
      </w:pPr>
      <w:r w:rsidRPr="000951ED">
        <w:rPr>
          <w:lang w:val="fr-FR"/>
        </w:rPr>
        <w:t>Les connecteurs miniatures doivent être absolument fiables et avoir des contacts sûrs. Les matériaux pour l</w:t>
      </w:r>
      <w:r>
        <w:rPr>
          <w:lang w:val="fr-FR"/>
        </w:rPr>
        <w:t>e moulage</w:t>
      </w:r>
      <w:r w:rsidRPr="000951ED">
        <w:rPr>
          <w:lang w:val="fr-FR"/>
        </w:rPr>
        <w:t xml:space="preserve"> à deux composants tels que le PU, l'époxy ou le silicone sont particulièrement adaptés </w:t>
      </w:r>
      <w:r>
        <w:rPr>
          <w:lang w:val="fr-FR"/>
        </w:rPr>
        <w:t>pour l’encapsulation</w:t>
      </w:r>
      <w:r w:rsidRPr="000951ED">
        <w:rPr>
          <w:lang w:val="fr-FR"/>
        </w:rPr>
        <w:t xml:space="preserve"> de connecteurs miniatures. Ils sont particulièrement convaincants en raison de leur large éventail d'applications.</w:t>
      </w:r>
    </w:p>
    <w:p w14:paraId="6E450038" w14:textId="77777777" w:rsidR="00453EE2" w:rsidRPr="00B81951" w:rsidRDefault="00453EE2" w:rsidP="00453EE2">
      <w:pPr>
        <w:pStyle w:val="Presse-Fliesstext"/>
        <w:rPr>
          <w:lang w:val="fr-FR"/>
        </w:rPr>
      </w:pPr>
    </w:p>
    <w:p w14:paraId="682657BB" w14:textId="77777777" w:rsidR="00453EE2" w:rsidRDefault="00453EE2" w:rsidP="00453EE2">
      <w:pPr>
        <w:pStyle w:val="Presse-Fliesstext"/>
        <w:rPr>
          <w:lang w:val="fr-FR"/>
        </w:rPr>
      </w:pPr>
      <w:r w:rsidRPr="000951ED">
        <w:rPr>
          <w:lang w:val="fr-FR"/>
        </w:rPr>
        <w:t>La miniaturisation croissante de l'électronique et l'amélioration des technologies des capteurs augmentent les exigences imposées aux systèmes de dosage en ce qui concerne par exemple le dosage répétable de petites quantités : des temps de cycle courts avec une précision maximale sont nécessaires. Les doseurs preeflow sont conçus pour des pressions de dosage allant jusqu'à 40 bars</w:t>
      </w:r>
      <w:r>
        <w:rPr>
          <w:lang w:val="fr-FR"/>
        </w:rPr>
        <w:t>. D</w:t>
      </w:r>
      <w:r w:rsidRPr="000951ED">
        <w:rPr>
          <w:lang w:val="fr-FR"/>
        </w:rPr>
        <w:t xml:space="preserve">es débits volumétriques plus importants peuvent donc être réalisés avec </w:t>
      </w:r>
      <w:r>
        <w:rPr>
          <w:lang w:val="fr-FR"/>
        </w:rPr>
        <w:t xml:space="preserve">un </w:t>
      </w:r>
      <w:r w:rsidRPr="000951ED">
        <w:rPr>
          <w:lang w:val="fr-FR"/>
        </w:rPr>
        <w:t>processus</w:t>
      </w:r>
      <w:r>
        <w:rPr>
          <w:lang w:val="fr-FR"/>
        </w:rPr>
        <w:t xml:space="preserve"> sûr</w:t>
      </w:r>
      <w:r w:rsidRPr="000951ED">
        <w:rPr>
          <w:lang w:val="fr-FR"/>
        </w:rPr>
        <w:t>.</w:t>
      </w:r>
    </w:p>
    <w:p w14:paraId="220096A6" w14:textId="77777777" w:rsidR="00453EE2" w:rsidRPr="004232E7" w:rsidRDefault="00453EE2" w:rsidP="00453EE2">
      <w:pPr>
        <w:pStyle w:val="Presse-Fliesstext"/>
        <w:rPr>
          <w:lang w:val="fr-FR"/>
        </w:rPr>
      </w:pPr>
    </w:p>
    <w:p w14:paraId="0BA01F7F" w14:textId="77777777" w:rsidR="00453EE2" w:rsidRDefault="00453EE2" w:rsidP="00453EE2">
      <w:pPr>
        <w:pStyle w:val="Subheadline"/>
        <w:rPr>
          <w:lang w:val="fr-FR"/>
        </w:rPr>
      </w:pPr>
      <w:r w:rsidRPr="000951ED">
        <w:rPr>
          <w:lang w:val="fr-FR"/>
        </w:rPr>
        <w:t xml:space="preserve">Les plus petites quantités de dosage pour </w:t>
      </w:r>
      <w:r>
        <w:rPr>
          <w:lang w:val="fr-FR"/>
        </w:rPr>
        <w:t>l’encapsulation</w:t>
      </w:r>
      <w:r w:rsidRPr="000951ED">
        <w:rPr>
          <w:lang w:val="fr-FR"/>
        </w:rPr>
        <w:t xml:space="preserve"> des connecteurs miniatures</w:t>
      </w:r>
    </w:p>
    <w:p w14:paraId="18E4FFAA" w14:textId="77777777" w:rsidR="00453EE2" w:rsidRPr="000E4659" w:rsidRDefault="00453EE2" w:rsidP="00453EE2">
      <w:pPr>
        <w:pStyle w:val="Subheadline"/>
        <w:rPr>
          <w:lang w:val="fr-FR"/>
        </w:rPr>
      </w:pPr>
    </w:p>
    <w:p w14:paraId="2430DCE6" w14:textId="77777777" w:rsidR="00453EE2" w:rsidRDefault="00453EE2" w:rsidP="00453EE2">
      <w:pPr>
        <w:pStyle w:val="Presse-Fliesstext"/>
        <w:rPr>
          <w:lang w:val="fr-FR"/>
        </w:rPr>
      </w:pPr>
      <w:r w:rsidRPr="000951ED">
        <w:rPr>
          <w:lang w:val="fr-FR"/>
        </w:rPr>
        <w:t>Les doseurs eco-DUO preeflow sont utilisés pour en</w:t>
      </w:r>
      <w:r>
        <w:rPr>
          <w:lang w:val="fr-FR"/>
        </w:rPr>
        <w:t>rober</w:t>
      </w:r>
      <w:r w:rsidRPr="000951ED">
        <w:rPr>
          <w:lang w:val="fr-FR"/>
        </w:rPr>
        <w:t xml:space="preserve"> les connecteurs miniatures. Selon leur taille, ils conviennent pour les plus petites quantités de 5 µl, jusqu'à des débits plus élevés de 32 ml/min. Les composants des doseurs sont parfaitement adaptés et assurent une résistance chimique maximale. Un contrôle précis avec l'unité de contrôle EC200-DUO complète le processus de dosage.</w:t>
      </w:r>
    </w:p>
    <w:p w14:paraId="0197299E" w14:textId="77777777" w:rsidR="00453EE2" w:rsidRPr="00B81951" w:rsidRDefault="00453EE2" w:rsidP="00453EE2">
      <w:pPr>
        <w:pStyle w:val="Presse-Fliesstext"/>
        <w:rPr>
          <w:lang w:val="fr-FR"/>
        </w:rPr>
      </w:pPr>
    </w:p>
    <w:p w14:paraId="1F243F82" w14:textId="77777777" w:rsidR="00453EE2" w:rsidRPr="000951ED" w:rsidRDefault="00453EE2" w:rsidP="00453EE2">
      <w:pPr>
        <w:pStyle w:val="Presse-Fliesstext"/>
        <w:rPr>
          <w:lang w:val="fr-FR"/>
        </w:rPr>
      </w:pPr>
      <w:bookmarkStart w:id="1" w:name="_Hlk54171884"/>
      <w:r w:rsidRPr="00F119B1">
        <w:rPr>
          <w:lang w:val="fr-FR"/>
        </w:rPr>
        <w:t xml:space="preserve">Grâce à la technologie de la vis </w:t>
      </w:r>
      <w:r>
        <w:rPr>
          <w:lang w:val="fr-FR"/>
        </w:rPr>
        <w:t>sans fin</w:t>
      </w:r>
      <w:r w:rsidRPr="00F119B1">
        <w:rPr>
          <w:lang w:val="fr-FR"/>
        </w:rPr>
        <w:t xml:space="preserve"> sur laquelle sont basés les produits </w:t>
      </w:r>
      <w:r w:rsidRPr="000951ED">
        <w:rPr>
          <w:lang w:val="fr-FR"/>
        </w:rPr>
        <w:t>preeflow</w:t>
      </w:r>
      <w:r w:rsidRPr="00F119B1">
        <w:rPr>
          <w:lang w:val="fr-FR"/>
        </w:rPr>
        <w:t xml:space="preserve">, un dosage répétable, précis et fiable est garanti. </w:t>
      </w:r>
      <w:r w:rsidRPr="000951ED">
        <w:rPr>
          <w:lang w:val="fr-FR"/>
        </w:rPr>
        <w:t xml:space="preserve">En particulier </w:t>
      </w:r>
      <w:r>
        <w:rPr>
          <w:lang w:val="fr-FR"/>
        </w:rPr>
        <w:t>pour</w:t>
      </w:r>
      <w:r w:rsidRPr="000951ED">
        <w:rPr>
          <w:lang w:val="fr-FR"/>
        </w:rPr>
        <w:t xml:space="preserve"> les applications à deux composants 2K, cette technologie assure un mélange volumétrique continu des deux produits. Ceci est important car les rapports de mélange spécifiés par le fabricant de l'adhésif doivent être continuellement maintenus afin de garantir un durcissement précis.</w:t>
      </w:r>
    </w:p>
    <w:bookmarkEnd w:id="1"/>
    <w:p w14:paraId="4CA51F0A" w14:textId="77777777" w:rsidR="00453EE2" w:rsidRDefault="00453EE2" w:rsidP="00453EE2">
      <w:pPr>
        <w:pStyle w:val="StandardWeb"/>
        <w:rPr>
          <w:rStyle w:val="Fett"/>
          <w:lang w:val="fr-FR"/>
        </w:rPr>
      </w:pPr>
    </w:p>
    <w:p w14:paraId="75A4AC8A" w14:textId="77777777" w:rsidR="00453EE2" w:rsidRDefault="00453EE2" w:rsidP="00453EE2">
      <w:pPr>
        <w:pStyle w:val="StandardWeb"/>
        <w:rPr>
          <w:rStyle w:val="Fett"/>
          <w:lang w:val="fr-FR"/>
        </w:rPr>
      </w:pPr>
    </w:p>
    <w:p w14:paraId="497C33DA" w14:textId="77777777" w:rsidR="00453EE2" w:rsidRDefault="00453EE2" w:rsidP="00453EE2">
      <w:pPr>
        <w:pStyle w:val="StandardWeb"/>
        <w:rPr>
          <w:rStyle w:val="Fett"/>
          <w:lang w:val="fr-FR"/>
        </w:rPr>
      </w:pPr>
    </w:p>
    <w:p w14:paraId="3CDE06A4" w14:textId="77777777" w:rsidR="00453EE2" w:rsidRDefault="00453EE2" w:rsidP="00453EE2">
      <w:pPr>
        <w:pStyle w:val="StandardWeb"/>
        <w:rPr>
          <w:rStyle w:val="Fett"/>
          <w:lang w:val="fr-FR"/>
        </w:rPr>
      </w:pPr>
    </w:p>
    <w:p w14:paraId="2CB19041" w14:textId="77777777" w:rsidR="00453EE2" w:rsidRPr="004A1CBE" w:rsidRDefault="00453EE2" w:rsidP="00453EE2">
      <w:pPr>
        <w:pStyle w:val="StandardWeb"/>
        <w:rPr>
          <w:rStyle w:val="Fett"/>
          <w:lang w:val="fr-FR"/>
        </w:rPr>
      </w:pPr>
      <w:r w:rsidRPr="000951ED">
        <w:rPr>
          <w:rStyle w:val="Fett"/>
          <w:lang w:val="fr-FR"/>
        </w:rPr>
        <w:lastRenderedPageBreak/>
        <w:t xml:space="preserve">Un large </w:t>
      </w:r>
      <w:r w:rsidRPr="004A1CBE">
        <w:rPr>
          <w:rStyle w:val="Fett"/>
          <w:lang w:val="fr-FR"/>
        </w:rPr>
        <w:t>éventail</w:t>
      </w:r>
      <w:r w:rsidRPr="000951ED">
        <w:rPr>
          <w:rStyle w:val="Fett"/>
          <w:lang w:val="fr-FR"/>
        </w:rPr>
        <w:t xml:space="preserve"> d'applications des doseurs pour l’encapsulation des connecteurs</w:t>
      </w:r>
    </w:p>
    <w:p w14:paraId="32F7DCD0" w14:textId="77777777" w:rsidR="00453EE2" w:rsidRPr="00106078" w:rsidRDefault="00453EE2" w:rsidP="00453EE2">
      <w:pPr>
        <w:pStyle w:val="Presse-Fliesstext"/>
        <w:rPr>
          <w:b/>
          <w:bCs/>
          <w:lang w:val="fr-FR"/>
        </w:rPr>
      </w:pPr>
    </w:p>
    <w:p w14:paraId="69DEF12D" w14:textId="77777777" w:rsidR="00453EE2" w:rsidRDefault="00453EE2" w:rsidP="00453EE2">
      <w:pPr>
        <w:pStyle w:val="Presse-Fliesstext"/>
        <w:rPr>
          <w:lang w:val="fr-FR"/>
        </w:rPr>
      </w:pPr>
      <w:bookmarkStart w:id="2" w:name="_Hlk54096417"/>
      <w:r w:rsidRPr="000951ED">
        <w:rPr>
          <w:lang w:val="fr-FR"/>
        </w:rPr>
        <w:t>Les doseurs sont utilisés dans différents domaines d'application. Un exemple typique est l'encapsulation des connecteurs dans le secteur automobile. L’endroit où est appliqué le produit dans le compartiment moteur requiert des exigences extrêmes en matière d'étanchéité, de résistance à l'huile et à la température. Il faut également empêcher la pénétration de l'humidité. Une quantité de dosage précis dans le processus d'encapsulation est absolument nécessaire pour assurer la fonction d'étanchéité.</w:t>
      </w:r>
    </w:p>
    <w:p w14:paraId="28D72E7B" w14:textId="77777777" w:rsidR="00453EE2" w:rsidRPr="00746C0A" w:rsidRDefault="00453EE2" w:rsidP="00453EE2">
      <w:pPr>
        <w:pStyle w:val="Presse-Fliesstext"/>
        <w:rPr>
          <w:lang w:val="fr-FR"/>
        </w:rPr>
      </w:pPr>
    </w:p>
    <w:bookmarkEnd w:id="2"/>
    <w:p w14:paraId="621EE412" w14:textId="77777777" w:rsidR="00453EE2" w:rsidRDefault="00453EE2" w:rsidP="00453EE2">
      <w:pPr>
        <w:pStyle w:val="Presse-Fliesstext"/>
        <w:rPr>
          <w:lang w:val="fr-FR"/>
        </w:rPr>
      </w:pPr>
      <w:r w:rsidRPr="000951ED">
        <w:rPr>
          <w:lang w:val="fr-FR"/>
        </w:rPr>
        <w:t>Mais aussi dans de nombreux autres domaines, de l'électronique grand public aux appareils médicaux - partout où les capteurs doivent être protégés des influences environnementales, des produits chimiques, des températures élevées ou même du pétrole et de l'essence - des résultats d'en</w:t>
      </w:r>
      <w:r>
        <w:rPr>
          <w:lang w:val="fr-FR"/>
        </w:rPr>
        <w:t>robage</w:t>
      </w:r>
      <w:r w:rsidRPr="000951ED">
        <w:rPr>
          <w:lang w:val="fr-FR"/>
        </w:rPr>
        <w:t xml:space="preserve"> absolument précis sont indispensables pour un gain considérable en matière de fiabilité et de qualité des processus. Et les coûts sont qui plus est réduits grâce à un </w:t>
      </w:r>
      <w:proofErr w:type="spellStart"/>
      <w:r w:rsidRPr="000951ED">
        <w:rPr>
          <w:lang w:val="fr-FR"/>
        </w:rPr>
        <w:t>potting</w:t>
      </w:r>
      <w:proofErr w:type="spellEnd"/>
      <w:r w:rsidRPr="000951ED">
        <w:rPr>
          <w:lang w:val="fr-FR"/>
        </w:rPr>
        <w:t xml:space="preserve"> répétable sans gaspillage de produit.</w:t>
      </w:r>
    </w:p>
    <w:p w14:paraId="364132DD" w14:textId="77777777" w:rsidR="00502B11" w:rsidRPr="00CB2995" w:rsidRDefault="00502B11" w:rsidP="00A32B7C">
      <w:pPr>
        <w:rPr>
          <w:lang w:val="fr-FR"/>
        </w:rPr>
      </w:pPr>
    </w:p>
    <w:p w14:paraId="7E491F80" w14:textId="77777777" w:rsidR="00FC356D" w:rsidRPr="00CB2995" w:rsidRDefault="00FC356D" w:rsidP="00A32B7C">
      <w:pPr>
        <w:rPr>
          <w:lang w:val="fr-FR"/>
        </w:rPr>
      </w:pPr>
    </w:p>
    <w:p w14:paraId="564A5BD2" w14:textId="77777777" w:rsidR="00FC356D" w:rsidRPr="00CB2995" w:rsidRDefault="00FC356D" w:rsidP="00A32B7C">
      <w:pPr>
        <w:rPr>
          <w:lang w:val="fr-FR"/>
        </w:rPr>
      </w:pPr>
    </w:p>
    <w:p w14:paraId="7DB17DE6" w14:textId="23C5C6C5" w:rsidR="00853652" w:rsidRPr="002974AD" w:rsidRDefault="00453EE2" w:rsidP="00A32B7C">
      <w:r>
        <w:t>2.917</w:t>
      </w:r>
      <w:r w:rsidR="00853652" w:rsidRPr="002974AD">
        <w:rPr>
          <w:color w:val="FF0000"/>
        </w:rPr>
        <w:t xml:space="preserve"> </w:t>
      </w:r>
      <w:r w:rsidR="00853652" w:rsidRPr="002974AD">
        <w:t xml:space="preserve">characters including spaces. Reprinting free of charge. Copy requested. </w:t>
      </w:r>
    </w:p>
    <w:p w14:paraId="1D37CF00" w14:textId="77777777" w:rsidR="00853652" w:rsidRPr="002974AD" w:rsidRDefault="00853652" w:rsidP="00A32B7C"/>
    <w:p w14:paraId="010D02F4" w14:textId="77777777" w:rsidR="00853652" w:rsidRPr="002974AD" w:rsidRDefault="00853652" w:rsidP="00A32B7C"/>
    <w:p w14:paraId="6B36F6D9" w14:textId="77777777" w:rsidR="00A32B7C" w:rsidRPr="002974AD" w:rsidRDefault="00A32B7C" w:rsidP="00A32B7C"/>
    <w:p w14:paraId="36A8C31E" w14:textId="50279B6F" w:rsidR="00A32B7C" w:rsidRPr="002974AD" w:rsidRDefault="00453EE2" w:rsidP="00A32B7C">
      <w:pPr>
        <w:pStyle w:val="Untertitel"/>
      </w:pPr>
      <w:r>
        <w:t>Photos</w:t>
      </w:r>
      <w:r w:rsidR="00A32B7C" w:rsidRPr="002974AD">
        <w:t>:</w:t>
      </w:r>
    </w:p>
    <w:p w14:paraId="48D88011" w14:textId="77777777" w:rsidR="00453EE2" w:rsidRDefault="00453EE2" w:rsidP="00453EE2">
      <w:pPr>
        <w:pStyle w:val="StandardWeb"/>
        <w:jc w:val="left"/>
      </w:pPr>
      <w:r>
        <w:rPr>
          <w:noProof/>
        </w:rPr>
        <w:drawing>
          <wp:inline distT="0" distB="0" distL="0" distR="0" wp14:anchorId="11027616" wp14:editId="2678F1C6">
            <wp:extent cx="2352675" cy="158607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6861" cy="1588895"/>
                    </a:xfrm>
                    <a:prstGeom prst="rect">
                      <a:avLst/>
                    </a:prstGeom>
                    <a:noFill/>
                    <a:ln>
                      <a:noFill/>
                    </a:ln>
                  </pic:spPr>
                </pic:pic>
              </a:graphicData>
            </a:graphic>
          </wp:inline>
        </w:drawing>
      </w:r>
    </w:p>
    <w:p w14:paraId="34B5F66D" w14:textId="77777777" w:rsidR="00453EE2" w:rsidRPr="00072EB1" w:rsidRDefault="00453EE2" w:rsidP="00453EE2">
      <w:pPr>
        <w:pStyle w:val="StandardWeb"/>
        <w:spacing w:after="240"/>
        <w:jc w:val="left"/>
        <w:rPr>
          <w:lang w:val="fr-FR"/>
        </w:rPr>
      </w:pPr>
      <w:r w:rsidRPr="00072EB1">
        <w:rPr>
          <w:rStyle w:val="Hervorhebung"/>
          <w:sz w:val="16"/>
          <w:szCs w:val="16"/>
          <w:lang w:val="fr-FR"/>
        </w:rPr>
        <w:t xml:space="preserve">Doseur bi-composants 2K, la série eco-DUO </w:t>
      </w:r>
      <w:r w:rsidRPr="000951ED">
        <w:rPr>
          <w:rStyle w:val="Hervorhebung"/>
          <w:sz w:val="16"/>
          <w:szCs w:val="16"/>
          <w:lang w:val="fr-FR"/>
        </w:rPr>
        <w:t>de chez</w:t>
      </w:r>
      <w:r w:rsidRPr="00072EB1">
        <w:rPr>
          <w:rStyle w:val="Hervorhebung"/>
          <w:sz w:val="16"/>
          <w:szCs w:val="16"/>
          <w:lang w:val="fr-FR"/>
        </w:rPr>
        <w:t xml:space="preserve"> preeflow</w:t>
      </w:r>
      <w:r w:rsidRPr="00072EB1">
        <w:rPr>
          <w:i/>
          <w:iCs/>
          <w:sz w:val="16"/>
          <w:szCs w:val="16"/>
          <w:lang w:val="fr-FR"/>
        </w:rPr>
        <w:br/>
      </w:r>
    </w:p>
    <w:p w14:paraId="43BB7CCD" w14:textId="77777777" w:rsidR="00453EE2" w:rsidRPr="00F119B1" w:rsidRDefault="00453EE2" w:rsidP="00453EE2">
      <w:pPr>
        <w:pStyle w:val="StandardWeb"/>
        <w:jc w:val="left"/>
        <w:rPr>
          <w:lang w:val="fr-FR"/>
        </w:rPr>
      </w:pPr>
      <w:r>
        <w:rPr>
          <w:noProof/>
        </w:rPr>
        <w:lastRenderedPageBreak/>
        <w:drawing>
          <wp:inline distT="0" distB="0" distL="0" distR="0" wp14:anchorId="08E01339" wp14:editId="174E2077">
            <wp:extent cx="1123950" cy="1674135"/>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7615" cy="1679594"/>
                    </a:xfrm>
                    <a:prstGeom prst="rect">
                      <a:avLst/>
                    </a:prstGeom>
                    <a:noFill/>
                    <a:ln>
                      <a:noFill/>
                    </a:ln>
                  </pic:spPr>
                </pic:pic>
              </a:graphicData>
            </a:graphic>
          </wp:inline>
        </w:drawing>
      </w:r>
      <w:r w:rsidRPr="00F119B1">
        <w:rPr>
          <w:lang w:val="fr-FR"/>
        </w:rPr>
        <w:t xml:space="preserve">  </w:t>
      </w:r>
      <w:r>
        <w:rPr>
          <w:noProof/>
        </w:rPr>
        <w:drawing>
          <wp:inline distT="0" distB="0" distL="0" distR="0" wp14:anchorId="2B4035E5" wp14:editId="596062AA">
            <wp:extent cx="2466975" cy="1649838"/>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698" cy="1655671"/>
                    </a:xfrm>
                    <a:prstGeom prst="rect">
                      <a:avLst/>
                    </a:prstGeom>
                    <a:noFill/>
                    <a:ln>
                      <a:noFill/>
                    </a:ln>
                  </pic:spPr>
                </pic:pic>
              </a:graphicData>
            </a:graphic>
          </wp:inline>
        </w:drawing>
      </w:r>
    </w:p>
    <w:p w14:paraId="0AAFB013" w14:textId="77777777" w:rsidR="00453EE2" w:rsidRPr="00DA3F5D" w:rsidRDefault="00453EE2" w:rsidP="00453EE2">
      <w:pPr>
        <w:pStyle w:val="StandardWeb"/>
        <w:jc w:val="left"/>
        <w:rPr>
          <w:lang w:val="fr-FR"/>
        </w:rPr>
      </w:pPr>
      <w:r w:rsidRPr="00F119B1">
        <w:rPr>
          <w:rStyle w:val="Hervorhebung"/>
          <w:sz w:val="16"/>
          <w:szCs w:val="16"/>
          <w:lang w:val="fr-FR"/>
        </w:rPr>
        <w:t>Exemple d</w:t>
      </w:r>
      <w:r w:rsidRPr="000951ED">
        <w:rPr>
          <w:rStyle w:val="Hervorhebung"/>
          <w:sz w:val="16"/>
          <w:szCs w:val="16"/>
          <w:lang w:val="fr-FR"/>
        </w:rPr>
        <w:t xml:space="preserve">’encapsulation </w:t>
      </w:r>
      <w:r w:rsidRPr="00F119B1">
        <w:rPr>
          <w:rStyle w:val="Hervorhebung"/>
          <w:sz w:val="16"/>
          <w:szCs w:val="16"/>
          <w:lang w:val="fr-FR"/>
        </w:rPr>
        <w:t xml:space="preserve">de connecteurs de l'entreprise </w:t>
      </w:r>
      <w:hyperlink r:id="rId13" w:history="1">
        <w:r w:rsidRPr="00F119B1">
          <w:rPr>
            <w:rStyle w:val="Hervorhebung"/>
            <w:color w:val="0000FF"/>
            <w:sz w:val="16"/>
            <w:szCs w:val="16"/>
            <w:u w:val="single"/>
            <w:lang w:val="fr-FR"/>
          </w:rPr>
          <w:t xml:space="preserve">ODU GmbH &amp; Co. </w:t>
        </w:r>
        <w:r w:rsidRPr="00DA3F5D">
          <w:rPr>
            <w:rStyle w:val="Hervorhebung"/>
            <w:color w:val="0000FF"/>
            <w:sz w:val="16"/>
            <w:szCs w:val="16"/>
            <w:u w:val="single"/>
            <w:lang w:val="fr-FR"/>
          </w:rPr>
          <w:t>KG</w:t>
        </w:r>
      </w:hyperlink>
      <w:r w:rsidRPr="00DA3F5D">
        <w:rPr>
          <w:lang w:val="fr-FR"/>
        </w:rPr>
        <w:br/>
      </w:r>
    </w:p>
    <w:p w14:paraId="2CE85974" w14:textId="77777777" w:rsidR="00A32B7C" w:rsidRPr="0024178A" w:rsidRDefault="00A32B7C" w:rsidP="00A32B7C">
      <w:pPr>
        <w:pStyle w:val="Untertitel"/>
        <w:rPr>
          <w:lang w:val="de-DE"/>
        </w:rPr>
      </w:pPr>
    </w:p>
    <w:p w14:paraId="68BC8B47" w14:textId="77777777" w:rsidR="00CB2995" w:rsidRPr="00A725E3" w:rsidRDefault="00CB2995" w:rsidP="00CB2995">
      <w:pPr>
        <w:pStyle w:val="Untertitel"/>
      </w:pPr>
      <w:r w:rsidRPr="00A725E3">
        <w:t xml:space="preserve">Microdispensing </w:t>
      </w:r>
      <w:r>
        <w:t>to</w:t>
      </w:r>
      <w:r w:rsidRPr="00A725E3">
        <w:t xml:space="preserve"> perfection!</w:t>
      </w:r>
    </w:p>
    <w:p w14:paraId="24380F2E" w14:textId="77777777" w:rsidR="00E7792E" w:rsidRPr="002974AD" w:rsidRDefault="00CB2995" w:rsidP="00CB2995">
      <w:r w:rsidRPr="00406BB4">
        <w:t>preeflow</w:t>
      </w:r>
      <w:r w:rsidRPr="00406BB4">
        <w:rPr>
          <w:vertAlign w:val="superscript"/>
        </w:rPr>
        <w:t>®</w:t>
      </w:r>
      <w:r w:rsidRPr="00406BB4">
        <w:t xml:space="preserve"> is a brand name powered by ViscoTec </w:t>
      </w:r>
      <w:proofErr w:type="spellStart"/>
      <w:r w:rsidRPr="00406BB4">
        <w:t>Pumpen</w:t>
      </w:r>
      <w:proofErr w:type="spellEnd"/>
      <w:r w:rsidRPr="00406BB4">
        <w:t xml:space="preserve">- u. </w:t>
      </w:r>
      <w:proofErr w:type="spellStart"/>
      <w:r w:rsidRPr="00406BB4">
        <w:t>Dosiertechnik</w:t>
      </w:r>
      <w:proofErr w:type="spellEnd"/>
      <w:r w:rsidRPr="00406BB4">
        <w:t xml:space="preserve"> GmbH. ViscoTec primarily deals in systems required for conveying, dispensing, applying, </w:t>
      </w:r>
      <w:proofErr w:type="gramStart"/>
      <w:r w:rsidRPr="00406BB4">
        <w:t>filling</w:t>
      </w:r>
      <w:proofErr w:type="gramEnd"/>
      <w:r w:rsidRPr="00406BB4">
        <w:t xml:space="preserve"> and emptying medium to high-viscosity fluids. The headquarters of the technological market leader is in Töging (upper Bavaria, near Munich). In addition, ViscoTec has subsidiaries in the USA, in China, Singapore</w:t>
      </w:r>
      <w:r>
        <w:t>, Indie</w:t>
      </w:r>
      <w:r w:rsidRPr="00406BB4">
        <w:t xml:space="preserve"> and in </w:t>
      </w:r>
      <w:r>
        <w:t>France</w:t>
      </w:r>
      <w:r w:rsidRPr="00406BB4">
        <w:t xml:space="preserve"> and employs about 2</w:t>
      </w:r>
      <w:r>
        <w:t>6</w:t>
      </w:r>
      <w:r w:rsidRPr="00406BB4">
        <w:t>0 people worldwide. Established in 2008, preeflow</w:t>
      </w:r>
      <w:r w:rsidRPr="00406BB4">
        <w:rPr>
          <w:vertAlign w:val="superscript"/>
        </w:rPr>
        <w:t>®</w:t>
      </w:r>
      <w:r w:rsidRPr="00406BB4">
        <w:t xml:space="preserve"> ensures precise, purely volumetric dispensing of liquids in the smallest of quantities. preeflow</w:t>
      </w:r>
      <w:r w:rsidRPr="00406BB4">
        <w:rPr>
          <w:vertAlign w:val="superscript"/>
        </w:rPr>
        <w:t>®</w:t>
      </w:r>
      <w:r w:rsidRPr="00406BB4">
        <w:t xml:space="preserve"> products are appreciated worldwide, not to mention because of their unique quality - Made in Germany. An international distribution network offers professional service and support in all areas of preeflow</w:t>
      </w:r>
      <w:r w:rsidRPr="00406BB4">
        <w:rPr>
          <w:vertAlign w:val="superscript"/>
        </w:rPr>
        <w:t>®</w:t>
      </w:r>
      <w:r w:rsidRPr="00406BB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406BB4">
        <w:rPr>
          <w:vertAlign w:val="superscript"/>
        </w:rPr>
        <w:t>®</w:t>
      </w:r>
      <w:r w:rsidRPr="00406BB4">
        <w:t xml:space="preserve"> portfolio can be easily integrated due to standardized interfaces. Worldwide more than 20,000 preeflow</w:t>
      </w:r>
      <w:r w:rsidRPr="00406BB4">
        <w:rPr>
          <w:vertAlign w:val="superscript"/>
        </w:rPr>
        <w:t>®</w:t>
      </w:r>
      <w:r w:rsidRPr="00406BB4">
        <w:t xml:space="preserve"> systems are working in semi- or </w:t>
      </w:r>
      <w:proofErr w:type="gramStart"/>
      <w:r w:rsidRPr="00406BB4">
        <w:t>fully-automated</w:t>
      </w:r>
      <w:proofErr w:type="gramEnd"/>
      <w:r w:rsidRPr="00406BB4">
        <w:t xml:space="preserve"> dispensing applications </w:t>
      </w:r>
      <w:r w:rsidRPr="00406BB4">
        <w:rPr>
          <w:rFonts w:ascii="Courier New" w:hAnsi="Courier New" w:cs="Courier New"/>
        </w:rPr>
        <w:t>­</w:t>
      </w:r>
      <w:r w:rsidRPr="00406BB4">
        <w:t xml:space="preserve"> to the user’s and customer's complete satisfaction</w:t>
      </w:r>
      <w:r w:rsidR="00E7792E" w:rsidRPr="002974AD">
        <w:t>.</w:t>
      </w:r>
    </w:p>
    <w:p w14:paraId="15AB148E" w14:textId="77777777" w:rsidR="00BD097C" w:rsidRPr="002974AD" w:rsidRDefault="00BD097C" w:rsidP="00A32B7C"/>
    <w:p w14:paraId="5F4051F1" w14:textId="77777777" w:rsidR="00AB3895" w:rsidRPr="002974AD" w:rsidRDefault="00AB3895" w:rsidP="00A32B7C"/>
    <w:p w14:paraId="419479E5" w14:textId="77777777" w:rsidR="00AB3895" w:rsidRPr="002974AD" w:rsidRDefault="00AB3895" w:rsidP="00A32B7C"/>
    <w:p w14:paraId="78151CE1" w14:textId="77777777" w:rsidR="00FC356D" w:rsidRPr="002974AD" w:rsidRDefault="00FC356D" w:rsidP="00A32B7C"/>
    <w:p w14:paraId="5D01EA02" w14:textId="77777777" w:rsidR="00B1362C" w:rsidRPr="002974AD" w:rsidRDefault="00B1362C" w:rsidP="00A32B7C"/>
    <w:p w14:paraId="2D7B3BC0" w14:textId="77777777" w:rsidR="00BD097C" w:rsidRPr="002974AD" w:rsidRDefault="00BD097C" w:rsidP="00A32B7C">
      <w:pPr>
        <w:pStyle w:val="Untertitel"/>
      </w:pPr>
      <w:r w:rsidRPr="002974AD">
        <w:t>Press</w:t>
      </w:r>
      <w:r w:rsidR="006C0AC6" w:rsidRPr="002974AD">
        <w:t xml:space="preserve"> contact</w:t>
      </w:r>
      <w:r w:rsidRPr="002974AD">
        <w:t>:</w:t>
      </w:r>
    </w:p>
    <w:p w14:paraId="6BAFF33D" w14:textId="77777777" w:rsidR="00BD097C" w:rsidRPr="002974AD" w:rsidRDefault="00BD097C" w:rsidP="00A32B7C"/>
    <w:p w14:paraId="581357BB" w14:textId="77777777" w:rsidR="00BD097C" w:rsidRPr="002974AD" w:rsidRDefault="00BD097C" w:rsidP="00A32B7C">
      <w:r w:rsidRPr="002974AD">
        <w:t xml:space="preserve">Thomas Diringer, </w:t>
      </w:r>
      <w:r w:rsidR="009C4840" w:rsidRPr="002974AD">
        <w:t>Manager Business Unit Components &amp; Devices</w:t>
      </w:r>
    </w:p>
    <w:p w14:paraId="7919826A" w14:textId="77777777" w:rsidR="00BD097C" w:rsidRPr="0024178A" w:rsidRDefault="00BD097C" w:rsidP="00A32B7C">
      <w:pPr>
        <w:rPr>
          <w:lang w:val="de-DE"/>
        </w:rPr>
      </w:pPr>
      <w:r w:rsidRPr="0024178A">
        <w:rPr>
          <w:lang w:val="de-DE"/>
        </w:rPr>
        <w:t>ViscoTec Pumpen- u. Dosiertechnik GmbH</w:t>
      </w:r>
    </w:p>
    <w:p w14:paraId="62AD0269" w14:textId="77777777" w:rsidR="00BD097C" w:rsidRPr="0024178A" w:rsidRDefault="00BD097C" w:rsidP="00A32B7C">
      <w:pPr>
        <w:rPr>
          <w:lang w:val="de-DE"/>
        </w:rPr>
      </w:pPr>
      <w:r w:rsidRPr="0024178A">
        <w:rPr>
          <w:lang w:val="de-DE"/>
        </w:rPr>
        <w:t>Amperstraße 13, D-84513 Töging a. Inn</w:t>
      </w:r>
    </w:p>
    <w:p w14:paraId="2242512F" w14:textId="77777777" w:rsidR="00BD097C" w:rsidRPr="00CB2995" w:rsidRDefault="009C4840" w:rsidP="00A32B7C">
      <w:pPr>
        <w:rPr>
          <w:lang w:val="fr-FR"/>
        </w:rPr>
      </w:pPr>
      <w:r w:rsidRPr="00CB2995">
        <w:rPr>
          <w:lang w:val="fr-FR"/>
        </w:rPr>
        <w:t>Phone</w:t>
      </w:r>
      <w:r w:rsidR="00BD097C" w:rsidRPr="00CB2995">
        <w:rPr>
          <w:lang w:val="fr-FR"/>
        </w:rPr>
        <w:t xml:space="preserve"> +49 8631 9274-441 </w:t>
      </w:r>
    </w:p>
    <w:p w14:paraId="65314626" w14:textId="77777777" w:rsidR="00BD097C" w:rsidRPr="00CB2995" w:rsidRDefault="00BD097C" w:rsidP="00A32B7C">
      <w:pPr>
        <w:rPr>
          <w:lang w:val="fr-FR"/>
        </w:rPr>
      </w:pPr>
      <w:proofErr w:type="gramStart"/>
      <w:r w:rsidRPr="00CB2995">
        <w:rPr>
          <w:lang w:val="fr-FR"/>
        </w:rPr>
        <w:t>E-Mail:</w:t>
      </w:r>
      <w:proofErr w:type="gramEnd"/>
      <w:r w:rsidRPr="00CB2995">
        <w:rPr>
          <w:lang w:val="fr-FR"/>
        </w:rPr>
        <w:t xml:space="preserve"> thomas.diringer@viscotec.de · www.preeflow.com</w:t>
      </w:r>
    </w:p>
    <w:p w14:paraId="2E5D03FC" w14:textId="77777777" w:rsidR="00BD097C" w:rsidRPr="00CB2995" w:rsidRDefault="00BD097C" w:rsidP="00A32B7C">
      <w:pPr>
        <w:rPr>
          <w:lang w:val="fr-FR"/>
        </w:rPr>
      </w:pPr>
    </w:p>
    <w:p w14:paraId="416EAEC4" w14:textId="77777777" w:rsidR="00BD097C" w:rsidRPr="0024178A" w:rsidRDefault="00670B7B" w:rsidP="00A32B7C">
      <w:pPr>
        <w:rPr>
          <w:lang w:val="de-DE"/>
        </w:rPr>
      </w:pPr>
      <w:r w:rsidRPr="0024178A">
        <w:rPr>
          <w:lang w:val="de-DE"/>
        </w:rPr>
        <w:t>Melanie Hintereder</w:t>
      </w:r>
      <w:r w:rsidR="00BD097C" w:rsidRPr="0024178A">
        <w:rPr>
          <w:lang w:val="de-DE"/>
        </w:rPr>
        <w:t>, Marketing</w:t>
      </w:r>
    </w:p>
    <w:p w14:paraId="4E337556" w14:textId="77777777" w:rsidR="00BD097C" w:rsidRPr="0024178A" w:rsidRDefault="00BD097C" w:rsidP="00A32B7C">
      <w:pPr>
        <w:rPr>
          <w:lang w:val="de-DE"/>
        </w:rPr>
      </w:pPr>
      <w:r w:rsidRPr="0024178A">
        <w:rPr>
          <w:lang w:val="de-DE"/>
        </w:rPr>
        <w:t>ViscoTec Pumpen- u. Dosiertechnik GmbH</w:t>
      </w:r>
    </w:p>
    <w:p w14:paraId="27293FCE" w14:textId="77777777" w:rsidR="00BD097C" w:rsidRPr="0024178A" w:rsidRDefault="00BD097C" w:rsidP="00A32B7C">
      <w:pPr>
        <w:rPr>
          <w:lang w:val="de-DE"/>
        </w:rPr>
      </w:pPr>
      <w:r w:rsidRPr="0024178A">
        <w:rPr>
          <w:lang w:val="de-DE"/>
        </w:rPr>
        <w:t>Amperstraße 13, D-84513 Töging a. Inn</w:t>
      </w:r>
    </w:p>
    <w:p w14:paraId="74819A53" w14:textId="77777777" w:rsidR="00BD097C" w:rsidRPr="0024178A" w:rsidRDefault="009C4840" w:rsidP="00A32B7C">
      <w:pPr>
        <w:rPr>
          <w:lang w:val="de-DE"/>
        </w:rPr>
      </w:pPr>
      <w:r w:rsidRPr="0024178A">
        <w:rPr>
          <w:lang w:val="de-DE"/>
        </w:rPr>
        <w:t>Phone</w:t>
      </w:r>
      <w:r w:rsidR="00BD097C" w:rsidRPr="0024178A">
        <w:rPr>
          <w:lang w:val="de-DE"/>
        </w:rPr>
        <w:t xml:space="preserve"> +49 8631 9274-4</w:t>
      </w:r>
      <w:r w:rsidR="00670B7B" w:rsidRPr="0024178A">
        <w:rPr>
          <w:lang w:val="de-DE"/>
        </w:rPr>
        <w:t>04</w:t>
      </w:r>
      <w:r w:rsidR="00BD097C" w:rsidRPr="0024178A">
        <w:rPr>
          <w:lang w:val="de-DE"/>
        </w:rPr>
        <w:t xml:space="preserve"> </w:t>
      </w:r>
    </w:p>
    <w:p w14:paraId="7097DD4B" w14:textId="1CF13FBD" w:rsidR="00207D48" w:rsidRPr="0024178A" w:rsidRDefault="00BD097C" w:rsidP="00A32B7C">
      <w:pPr>
        <w:rPr>
          <w:lang w:val="de-DE"/>
        </w:rPr>
      </w:pPr>
      <w:r w:rsidRPr="0024178A">
        <w:rPr>
          <w:lang w:val="de-DE"/>
        </w:rPr>
        <w:t xml:space="preserve">E-Mail: </w:t>
      </w:r>
      <w:r w:rsidR="00670B7B" w:rsidRPr="0024178A">
        <w:rPr>
          <w:lang w:val="de-DE"/>
        </w:rPr>
        <w:t>melanie.hintereder</w:t>
      </w:r>
      <w:r w:rsidRPr="0024178A">
        <w:rPr>
          <w:lang w:val="de-DE"/>
        </w:rPr>
        <w:t>@viscotec.de · www.viscotec.de</w:t>
      </w:r>
    </w:p>
    <w:bookmarkEnd w:id="0"/>
    <w:p w14:paraId="0D116BDA" w14:textId="77777777" w:rsidR="006E2BC6" w:rsidRPr="0024178A" w:rsidRDefault="006E2BC6" w:rsidP="00DA128F">
      <w:pPr>
        <w:pStyle w:val="Fusszeile"/>
        <w:rPr>
          <w:lang w:val="de-DE"/>
        </w:rPr>
      </w:pPr>
    </w:p>
    <w:sectPr w:rsidR="006E2BC6" w:rsidRPr="0024178A" w:rsidSect="00FF2E2A">
      <w:headerReference w:type="default" r:id="rId14"/>
      <w:footerReference w:type="default" r:id="rId15"/>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574BE" w14:textId="77777777" w:rsidR="00453EE2" w:rsidRDefault="00453EE2" w:rsidP="00A32B7C">
      <w:r>
        <w:separator/>
      </w:r>
    </w:p>
  </w:endnote>
  <w:endnote w:type="continuationSeparator" w:id="0">
    <w:p w14:paraId="6F5B86A4" w14:textId="77777777" w:rsidR="00453EE2" w:rsidRDefault="00453EE2"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E1D6C" w14:textId="77777777" w:rsidR="00A32B7C" w:rsidRDefault="00A32B7C" w:rsidP="00A32B7C">
    <w:pPr>
      <w:tabs>
        <w:tab w:val="left" w:pos="3261"/>
      </w:tabs>
      <w:rPr>
        <w:noProof/>
        <w:sz w:val="14"/>
        <w:szCs w:val="14"/>
      </w:rPr>
    </w:pPr>
    <w:bookmarkStart w:id="3" w:name="_Hlk517093279"/>
  </w:p>
  <w:p w14:paraId="660B79A5"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67EA8EB" wp14:editId="5423158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65846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61469EBC" w14:textId="77777777" w:rsidR="00A32B7C" w:rsidRDefault="00A32B7C" w:rsidP="00A32B7C">
    <w:pPr>
      <w:tabs>
        <w:tab w:val="left" w:pos="3261"/>
      </w:tabs>
      <w:rPr>
        <w:noProof/>
        <w:sz w:val="14"/>
        <w:szCs w:val="14"/>
      </w:rPr>
    </w:pPr>
  </w:p>
  <w:bookmarkEnd w:id="3"/>
  <w:p w14:paraId="6D446C6F" w14:textId="77777777" w:rsidR="00A32B7C" w:rsidRPr="00CB2995" w:rsidRDefault="00DE1923" w:rsidP="00A32B7C">
    <w:pPr>
      <w:pStyle w:val="Fusszeile"/>
      <w:rPr>
        <w:lang w:val="de-DE"/>
      </w:rPr>
    </w:pPr>
    <w:r w:rsidRPr="00CB2995">
      <w:rPr>
        <w:lang w:val="de-DE"/>
      </w:rPr>
      <w:t>Status</w:t>
    </w:r>
    <w:r w:rsidR="00A32B7C" w:rsidRPr="00CB2995">
      <w:rPr>
        <w:lang w:val="de-DE"/>
      </w:rPr>
      <w:t>: 0</w:t>
    </w:r>
    <w:r w:rsidR="0024178A" w:rsidRPr="00CB2995">
      <w:rPr>
        <w:lang w:val="de-DE"/>
      </w:rPr>
      <w:t>8</w:t>
    </w:r>
    <w:r w:rsidR="00A32B7C" w:rsidRPr="00CB2995">
      <w:rPr>
        <w:lang w:val="de-DE"/>
      </w:rPr>
      <w:t>.0</w:t>
    </w:r>
    <w:r w:rsidR="0024178A" w:rsidRPr="00CB2995">
      <w:rPr>
        <w:lang w:val="de-DE"/>
      </w:rPr>
      <w:t>1</w:t>
    </w:r>
    <w:r w:rsidR="00A32B7C" w:rsidRPr="00CB2995">
      <w:rPr>
        <w:lang w:val="de-DE"/>
      </w:rPr>
      <w:t>.20</w:t>
    </w:r>
    <w:r w:rsidR="0024178A" w:rsidRPr="00CB2995">
      <w:rPr>
        <w:lang w:val="de-DE"/>
      </w:rPr>
      <w:t>20</w:t>
    </w:r>
    <w:r w:rsidR="00A32B7C" w:rsidRPr="00CB2995">
      <w:rPr>
        <w:color w:val="7F7F7F"/>
        <w:lang w:val="de-DE"/>
      </w:rPr>
      <w:tab/>
    </w:r>
    <w:r w:rsidR="00A32B7C" w:rsidRPr="00CB2995">
      <w:rPr>
        <w:lang w:val="de-DE"/>
      </w:rPr>
      <w:t xml:space="preserve"> </w:t>
    </w:r>
    <w:r w:rsidR="00A32B7C" w:rsidRPr="00CB2995">
      <w:rPr>
        <w:color w:val="7F7F7F"/>
        <w:lang w:val="de-DE"/>
      </w:rPr>
      <w:tab/>
    </w:r>
    <w:r w:rsidR="00A32B7C" w:rsidRPr="00CB2995">
      <w:rPr>
        <w:lang w:val="de-DE"/>
      </w:rPr>
      <w:tab/>
    </w:r>
    <w:r w:rsidR="00CA44B8" w:rsidRPr="00CB2995">
      <w:rPr>
        <w:lang w:val="de-DE"/>
      </w:rPr>
      <w:t>Page</w:t>
    </w:r>
    <w:r w:rsidR="00A32B7C" w:rsidRPr="00CB2995">
      <w:rPr>
        <w:lang w:val="de-DE"/>
      </w:rPr>
      <w:t xml:space="preserve"> </w:t>
    </w:r>
    <w:r w:rsidR="00A32B7C" w:rsidRPr="003976F5">
      <w:fldChar w:fldCharType="begin"/>
    </w:r>
    <w:r w:rsidR="00A32B7C" w:rsidRPr="00CB2995">
      <w:rPr>
        <w:lang w:val="de-DE"/>
      </w:rPr>
      <w:instrText xml:space="preserve"> PAGE </w:instrText>
    </w:r>
    <w:r w:rsidR="00A32B7C" w:rsidRPr="003976F5">
      <w:fldChar w:fldCharType="separate"/>
    </w:r>
    <w:r w:rsidR="00A32B7C" w:rsidRPr="00CB2995">
      <w:rPr>
        <w:lang w:val="de-DE"/>
      </w:rPr>
      <w:t>1</w:t>
    </w:r>
    <w:r w:rsidR="00A32B7C" w:rsidRPr="003976F5">
      <w:fldChar w:fldCharType="end"/>
    </w:r>
    <w:r w:rsidR="00A32B7C" w:rsidRPr="00CB2995">
      <w:rPr>
        <w:lang w:val="de-DE"/>
      </w:rPr>
      <w:t xml:space="preserve"> </w:t>
    </w:r>
    <w:r w:rsidR="00CA44B8" w:rsidRPr="00CB2995">
      <w:rPr>
        <w:lang w:val="de-DE"/>
      </w:rPr>
      <w:t>of</w:t>
    </w:r>
    <w:r w:rsidR="00A32B7C" w:rsidRPr="00CB2995">
      <w:rPr>
        <w:lang w:val="de-DE"/>
      </w:rPr>
      <w:t xml:space="preserve"> </w:t>
    </w:r>
    <w:r w:rsidR="00A32B7C" w:rsidRPr="003976F5">
      <w:fldChar w:fldCharType="begin"/>
    </w:r>
    <w:r w:rsidR="00A32B7C" w:rsidRPr="00CB2995">
      <w:rPr>
        <w:lang w:val="de-DE"/>
      </w:rPr>
      <w:instrText xml:space="preserve"> NUMPAGES  </w:instrText>
    </w:r>
    <w:r w:rsidR="00A32B7C" w:rsidRPr="003976F5">
      <w:fldChar w:fldCharType="separate"/>
    </w:r>
    <w:r w:rsidR="00A32B7C" w:rsidRPr="00CB2995">
      <w:rPr>
        <w:lang w:val="de-DE"/>
      </w:rPr>
      <w:t>2</w:t>
    </w:r>
    <w:r w:rsidR="00A32B7C" w:rsidRPr="003976F5">
      <w:fldChar w:fldCharType="end"/>
    </w:r>
  </w:p>
  <w:p w14:paraId="7500CBDE" w14:textId="77777777" w:rsidR="00A32B7C" w:rsidRPr="00CB2995" w:rsidRDefault="00A32B7C" w:rsidP="00A32B7C">
    <w:pPr>
      <w:tabs>
        <w:tab w:val="left" w:pos="450"/>
        <w:tab w:val="left" w:pos="3261"/>
        <w:tab w:val="left" w:pos="5954"/>
        <w:tab w:val="left" w:pos="8789"/>
      </w:tabs>
      <w:rPr>
        <w:b/>
        <w:noProof/>
        <w:sz w:val="14"/>
        <w:szCs w:val="14"/>
        <w:lang w:val="de-DE"/>
      </w:rPr>
    </w:pPr>
  </w:p>
  <w:p w14:paraId="3A99F311" w14:textId="77777777" w:rsidR="00A32B7C" w:rsidRPr="00CB2995" w:rsidRDefault="00A32B7C" w:rsidP="00A32B7C">
    <w:pPr>
      <w:tabs>
        <w:tab w:val="left" w:pos="450"/>
        <w:tab w:val="left" w:pos="3261"/>
        <w:tab w:val="left" w:pos="5954"/>
        <w:tab w:val="left" w:pos="8789"/>
      </w:tabs>
      <w:rPr>
        <w:noProof/>
        <w:color w:val="7F7F7F"/>
        <w:sz w:val="14"/>
        <w:szCs w:val="14"/>
        <w:lang w:val="de-DE"/>
      </w:rPr>
    </w:pPr>
    <w:r w:rsidRPr="00CB2995">
      <w:rPr>
        <w:b/>
        <w:noProof/>
        <w:sz w:val="14"/>
        <w:szCs w:val="14"/>
        <w:lang w:val="de-DE"/>
      </w:rPr>
      <w:t>ViscoTec</w:t>
    </w:r>
    <w:r w:rsidRPr="00CB2995">
      <w:rPr>
        <w:noProof/>
        <w:sz w:val="14"/>
        <w:szCs w:val="14"/>
        <w:lang w:val="de-DE"/>
      </w:rPr>
      <w:tab/>
      <w:t>Amperstraße 13</w:t>
    </w:r>
    <w:r w:rsidRPr="00CB2995">
      <w:rPr>
        <w:noProof/>
        <w:color w:val="7F7F7F"/>
        <w:sz w:val="14"/>
        <w:szCs w:val="14"/>
        <w:lang w:val="de-DE"/>
      </w:rPr>
      <w:tab/>
    </w:r>
    <w:r w:rsidRPr="00CB2995">
      <w:rPr>
        <w:b/>
        <w:noProof/>
        <w:color w:val="00B0F0"/>
        <w:sz w:val="14"/>
        <w:szCs w:val="14"/>
        <w:lang w:val="de-DE"/>
      </w:rPr>
      <w:t>T</w:t>
    </w:r>
    <w:r w:rsidRPr="00CB2995">
      <w:rPr>
        <w:noProof/>
        <w:color w:val="7F7F7F"/>
        <w:sz w:val="14"/>
        <w:szCs w:val="14"/>
        <w:lang w:val="de-DE"/>
      </w:rPr>
      <w:t xml:space="preserve">  </w:t>
    </w:r>
    <w:r w:rsidRPr="00CB2995">
      <w:rPr>
        <w:noProof/>
        <w:sz w:val="14"/>
        <w:szCs w:val="14"/>
        <w:lang w:val="de-DE"/>
      </w:rPr>
      <w:t>+49 8631 9274-0</w:t>
    </w:r>
    <w:r w:rsidRPr="00CB2995">
      <w:rPr>
        <w:noProof/>
        <w:color w:val="7F7F7F"/>
        <w:sz w:val="14"/>
        <w:szCs w:val="14"/>
        <w:lang w:val="de-DE"/>
      </w:rPr>
      <w:tab/>
    </w:r>
    <w:r w:rsidRPr="00CB2995">
      <w:rPr>
        <w:b/>
        <w:noProof/>
        <w:color w:val="00B0F0"/>
        <w:sz w:val="14"/>
        <w:szCs w:val="14"/>
        <w:lang w:val="de-DE"/>
      </w:rPr>
      <w:t>W</w:t>
    </w:r>
    <w:r w:rsidRPr="00CB2995">
      <w:rPr>
        <w:noProof/>
        <w:color w:val="7F7F7F"/>
        <w:sz w:val="14"/>
        <w:szCs w:val="14"/>
        <w:lang w:val="de-DE"/>
      </w:rPr>
      <w:t xml:space="preserve"> </w:t>
    </w:r>
    <w:r w:rsidRPr="00CB2995">
      <w:rPr>
        <w:noProof/>
        <w:color w:val="7F7F7F"/>
        <w:sz w:val="20"/>
        <w:szCs w:val="20"/>
        <w:lang w:val="de-DE"/>
      </w:rPr>
      <w:t xml:space="preserve"> </w:t>
    </w:r>
    <w:r w:rsidRPr="00CB2995">
      <w:rPr>
        <w:noProof/>
        <w:sz w:val="14"/>
        <w:szCs w:val="14"/>
        <w:lang w:val="de-DE"/>
      </w:rPr>
      <w:t xml:space="preserve">www.viscotec.de </w:t>
    </w:r>
  </w:p>
  <w:p w14:paraId="3F0EB0E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47C03" w14:textId="77777777" w:rsidR="00453EE2" w:rsidRDefault="00453EE2" w:rsidP="00A32B7C">
      <w:r>
        <w:separator/>
      </w:r>
    </w:p>
  </w:footnote>
  <w:footnote w:type="continuationSeparator" w:id="0">
    <w:p w14:paraId="6139ED76" w14:textId="77777777" w:rsidR="00453EE2" w:rsidRDefault="00453EE2"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28FE3"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7E6E0738" wp14:editId="5E17EA26">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2E46B7C1" w14:textId="77777777" w:rsidR="006B78C4" w:rsidRDefault="006B78C4" w:rsidP="00A32B7C">
    <w:pPr>
      <w:pStyle w:val="Kopfzeile"/>
    </w:pPr>
  </w:p>
  <w:p w14:paraId="6A043B1B" w14:textId="77777777" w:rsidR="006B78C4" w:rsidRDefault="006B78C4" w:rsidP="00A32B7C">
    <w:pPr>
      <w:pStyle w:val="Kopfzeile"/>
    </w:pPr>
  </w:p>
  <w:p w14:paraId="3F5C6C66" w14:textId="77777777" w:rsidR="006B78C4" w:rsidRDefault="006B78C4" w:rsidP="00A32B7C">
    <w:pPr>
      <w:pStyle w:val="Kopfzeile"/>
    </w:pPr>
  </w:p>
  <w:p w14:paraId="57B76CFB" w14:textId="77777777" w:rsidR="006B78C4" w:rsidRDefault="006B78C4" w:rsidP="00A32B7C">
    <w:pPr>
      <w:pStyle w:val="Kopfzeile"/>
    </w:pPr>
  </w:p>
  <w:p w14:paraId="32DCB08D" w14:textId="3939D04A" w:rsidR="006B78C4" w:rsidRPr="00453EE2" w:rsidRDefault="00453EE2" w:rsidP="00453EE2">
    <w:pPr>
      <w:pStyle w:val="Headline1"/>
      <w:rPr>
        <w:caps/>
        <w:color w:val="009DE0" w:themeColor="accent6"/>
        <w:lang w:val="fr-FR"/>
      </w:rPr>
    </w:pPr>
    <w:r w:rsidRPr="00453EE2">
      <w:rPr>
        <w:caps/>
        <w:color w:val="009DE0" w:themeColor="accent6"/>
        <w:lang w:val="fr-FR"/>
      </w:rPr>
      <w:t>Communiqué de Presse</w:t>
    </w:r>
  </w:p>
  <w:p w14:paraId="576DE31E" w14:textId="77777777" w:rsidR="006B78C4" w:rsidRDefault="006B78C4" w:rsidP="00A32B7C">
    <w:pPr>
      <w:pStyle w:val="Kopfzeile"/>
    </w:pPr>
  </w:p>
  <w:p w14:paraId="2DAEE432"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EE2"/>
    <w:rsid w:val="0007129F"/>
    <w:rsid w:val="000B283B"/>
    <w:rsid w:val="000B44E6"/>
    <w:rsid w:val="000D7869"/>
    <w:rsid w:val="000F3990"/>
    <w:rsid w:val="00100CE6"/>
    <w:rsid w:val="0019178B"/>
    <w:rsid w:val="00196B6F"/>
    <w:rsid w:val="00207D48"/>
    <w:rsid w:val="00213097"/>
    <w:rsid w:val="00216DE4"/>
    <w:rsid w:val="00217A6A"/>
    <w:rsid w:val="0024178A"/>
    <w:rsid w:val="002974AD"/>
    <w:rsid w:val="002B4444"/>
    <w:rsid w:val="002C1B58"/>
    <w:rsid w:val="002F00CC"/>
    <w:rsid w:val="00304C95"/>
    <w:rsid w:val="003074B0"/>
    <w:rsid w:val="00310BD9"/>
    <w:rsid w:val="00346F0D"/>
    <w:rsid w:val="003857C3"/>
    <w:rsid w:val="003B111D"/>
    <w:rsid w:val="003D22D6"/>
    <w:rsid w:val="00406BB4"/>
    <w:rsid w:val="00453EE2"/>
    <w:rsid w:val="004E6FF0"/>
    <w:rsid w:val="004F0705"/>
    <w:rsid w:val="00502B11"/>
    <w:rsid w:val="0050565F"/>
    <w:rsid w:val="00517A36"/>
    <w:rsid w:val="00525CD7"/>
    <w:rsid w:val="0056210E"/>
    <w:rsid w:val="00592CA1"/>
    <w:rsid w:val="00610C87"/>
    <w:rsid w:val="006219C0"/>
    <w:rsid w:val="00670B7B"/>
    <w:rsid w:val="006B78C4"/>
    <w:rsid w:val="006C0AC6"/>
    <w:rsid w:val="006E2BC6"/>
    <w:rsid w:val="00756476"/>
    <w:rsid w:val="00791C50"/>
    <w:rsid w:val="007C6E88"/>
    <w:rsid w:val="007E6CA0"/>
    <w:rsid w:val="00853652"/>
    <w:rsid w:val="008F388C"/>
    <w:rsid w:val="00972B7F"/>
    <w:rsid w:val="00986F58"/>
    <w:rsid w:val="009C4840"/>
    <w:rsid w:val="009D0A72"/>
    <w:rsid w:val="009E289E"/>
    <w:rsid w:val="00A02963"/>
    <w:rsid w:val="00A23D8E"/>
    <w:rsid w:val="00A32B7C"/>
    <w:rsid w:val="00AB3895"/>
    <w:rsid w:val="00AC080F"/>
    <w:rsid w:val="00AE544C"/>
    <w:rsid w:val="00B07A84"/>
    <w:rsid w:val="00B12037"/>
    <w:rsid w:val="00B1362C"/>
    <w:rsid w:val="00B24A85"/>
    <w:rsid w:val="00B27160"/>
    <w:rsid w:val="00B60D2C"/>
    <w:rsid w:val="00BD097C"/>
    <w:rsid w:val="00C135DE"/>
    <w:rsid w:val="00C75A4E"/>
    <w:rsid w:val="00C83E1A"/>
    <w:rsid w:val="00C93794"/>
    <w:rsid w:val="00CA44B8"/>
    <w:rsid w:val="00CB2995"/>
    <w:rsid w:val="00CD306B"/>
    <w:rsid w:val="00CF08AA"/>
    <w:rsid w:val="00D130D4"/>
    <w:rsid w:val="00D520FF"/>
    <w:rsid w:val="00D64095"/>
    <w:rsid w:val="00D844A5"/>
    <w:rsid w:val="00D87711"/>
    <w:rsid w:val="00DA128F"/>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FF1A2"/>
  <w15:docId w15:val="{E925CBF6-40C3-4376-84BB-FD03ADD2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customStyle="1" w:styleId="Headline1Zchn">
    <w:name w:val="Headline 1 Zchn"/>
    <w:basedOn w:val="Absatz-Standardschriftart"/>
    <w:link w:val="Headline1"/>
    <w:locked/>
    <w:rsid w:val="00453EE2"/>
    <w:rPr>
      <w:rFonts w:ascii="Arial" w:hAnsi="Arial" w:cs="Arial"/>
      <w:b/>
      <w:sz w:val="32"/>
      <w:szCs w:val="32"/>
    </w:rPr>
  </w:style>
  <w:style w:type="paragraph" w:customStyle="1" w:styleId="Headline1">
    <w:name w:val="Headline 1"/>
    <w:basedOn w:val="Standard"/>
    <w:link w:val="Headline1Zchn"/>
    <w:qFormat/>
    <w:rsid w:val="00453EE2"/>
    <w:pPr>
      <w:jc w:val="left"/>
    </w:pPr>
    <w:rPr>
      <w:b/>
      <w:sz w:val="32"/>
      <w:szCs w:val="32"/>
      <w:lang w:val="de-DE"/>
    </w:rPr>
  </w:style>
  <w:style w:type="character" w:customStyle="1" w:styleId="SubheadlineZchn">
    <w:name w:val="Subheadline Zchn"/>
    <w:basedOn w:val="Absatz-Standardschriftart"/>
    <w:link w:val="Subheadline"/>
    <w:locked/>
    <w:rsid w:val="00453EE2"/>
    <w:rPr>
      <w:rFonts w:ascii="Arial" w:hAnsi="Arial" w:cs="Arial"/>
      <w:b/>
    </w:rPr>
  </w:style>
  <w:style w:type="paragraph" w:customStyle="1" w:styleId="Subheadline">
    <w:name w:val="Subheadline"/>
    <w:basedOn w:val="Standard"/>
    <w:link w:val="SubheadlineZchn"/>
    <w:qFormat/>
    <w:rsid w:val="00453EE2"/>
    <w:pPr>
      <w:jc w:val="left"/>
    </w:pPr>
    <w:rPr>
      <w:b/>
      <w:lang w:val="de-DE"/>
    </w:rPr>
  </w:style>
  <w:style w:type="character" w:styleId="Fett">
    <w:name w:val="Strong"/>
    <w:basedOn w:val="Absatz-Standardschriftart"/>
    <w:uiPriority w:val="22"/>
    <w:qFormat/>
    <w:rsid w:val="00453EE2"/>
    <w:rPr>
      <w:b/>
      <w:bCs/>
    </w:rPr>
  </w:style>
  <w:style w:type="character" w:styleId="Hervorhebung">
    <w:name w:val="Emphasis"/>
    <w:basedOn w:val="Absatz-Standardschriftart"/>
    <w:uiPriority w:val="20"/>
    <w:qFormat/>
    <w:rsid w:val="00453E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ink.mediaoutreach.meltwater.com/ls/click?upn=YMO-2BsJBLGEhvedHmnZ4TtmaMcTylLlAb7eTIHiqs6pQ-3DI8u2_Zf9noBSXp6zmd8gcAmse0J5SliTEZLoFom1nPULuZtQFq7qj3xU5USphOmFZk-2Fy1E3d-2FLL1LZ2ZpBrkYbIglD6d-2BDMqJJKgrojMWx8Qp-2B8K9-2BG-2BCMArY1Qdpuk0y5Mzt-2F-2BMZEVdiU5utwqTZO6sg7TJxW35FKTCZSdGRqehl-2BYPhFrtBybQq1JMnGCa9CCa24LDavkvBNnc6Mq5sksZqdlXLXQhfzeWm7Dy3EtODmxT51AbkDYC9JDfEmka6dMyVtUCbkj2zTkaTPg7EykSpATLTLQVamKJQidmBPJiVQYaB-2FBUYXInWLHaqqsEfiWs61t9dSrdmazFC2VWnvDqG37FENCKzg4spdWotgF1tpp8JWFcdHJUCECXSP5tDnHG7VV8Qp1FpL3-2BeqIDUkjhhwmbK3Rjv7O1jWS-2BXzdj-2F59M-3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EN.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B3E85F2-D0F6-458E-8A52-A3CABF5AF6AD}">
  <ds:schemaRefs>
    <ds:schemaRef ds:uri="http://schemas.openxmlformats.org/officeDocument/2006/bibliography"/>
  </ds:schemaRefs>
</ds:datastoreItem>
</file>

<file path=customXml/itemProps2.xml><?xml version="1.0" encoding="utf-8"?>
<ds:datastoreItem xmlns:ds="http://schemas.openxmlformats.org/officeDocument/2006/customXml" ds:itemID="{53915D36-5CD8-4B3D-BD49-C9DBB3551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64E68-3E6B-4C48-AFA1-BC7514132012}">
  <ds:schemaRefs>
    <ds:schemaRef ds:uri="http://schemas.microsoft.com/sharepoint/v3/contenttype/forms"/>
  </ds:schemaRefs>
</ds:datastoreItem>
</file>

<file path=customXml/itemProps4.xml><?xml version="1.0" encoding="utf-8"?>
<ds:datastoreItem xmlns:ds="http://schemas.openxmlformats.org/officeDocument/2006/customXml" ds:itemID="{290087DC-C9F8-403B-8ABF-ED856AAFC88B}">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sharepoint/v3"/>
    <ds:schemaRef ds:uri="7922725f-000b-404e-aae3-5c2dc82bec74"/>
    <ds:schemaRef ds:uri="http://purl.org/dc/terms/"/>
    <ds:schemaRef ds:uri="http://schemas.microsoft.com/office/infopath/2007/PartnerControls"/>
    <ds:schemaRef ds:uri="7dbda7b0-c355-4cc2-a9bf-6a992a3ae90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preeflow-Pressevorlage-EN.dotx</Template>
  <TotalTime>0</TotalTime>
  <Pages>3</Pages>
  <Words>752</Words>
  <Characters>4740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cp:revision>
  <dcterms:created xsi:type="dcterms:W3CDTF">2020-10-23T09:09:00Z</dcterms:created>
  <dcterms:modified xsi:type="dcterms:W3CDTF">2020-10-23T09:12:00Z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