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85912" w14:textId="77777777" w:rsidR="00212DF7" w:rsidRPr="00212DF7" w:rsidRDefault="00212DF7" w:rsidP="00212DF7">
      <w:pPr>
        <w:pStyle w:val="StandardWeb"/>
        <w:rPr>
          <w:rFonts w:ascii="Calibri" w:hAnsi="Calibri" w:cs="Calibri"/>
          <w:b/>
          <w:bCs/>
          <w:kern w:val="36"/>
          <w:sz w:val="28"/>
          <w:szCs w:val="28"/>
          <w:lang w:val="fr-FR"/>
        </w:rPr>
      </w:pPr>
      <w:bookmarkStart w:id="0" w:name="_Hlk517093228"/>
      <w:r w:rsidRPr="00212DF7">
        <w:rPr>
          <w:b/>
          <w:bCs/>
          <w:kern w:val="36"/>
          <w:sz w:val="28"/>
          <w:szCs w:val="28"/>
          <w:lang w:val="fr-FR"/>
        </w:rPr>
        <w:t>Une grande variété de pompes de dosage pour des applications de microdosage</w:t>
      </w:r>
    </w:p>
    <w:p w14:paraId="44547DAA" w14:textId="77777777" w:rsidR="006E656E" w:rsidRPr="00212DF7" w:rsidRDefault="006E656E" w:rsidP="006E656E">
      <w:pPr>
        <w:rPr>
          <w:b/>
          <w:sz w:val="28"/>
          <w:szCs w:val="28"/>
          <w:lang w:val="fr-FR"/>
        </w:rPr>
      </w:pPr>
    </w:p>
    <w:p w14:paraId="3CD16FC1" w14:textId="77777777" w:rsidR="00212DF7" w:rsidRPr="00212DF7" w:rsidRDefault="00212DF7" w:rsidP="00212DF7">
      <w:pPr>
        <w:pStyle w:val="Untertitel"/>
        <w:rPr>
          <w:rFonts w:ascii="Calibri" w:hAnsi="Calibri" w:cs="Calibri"/>
          <w:lang w:val="fr-FR"/>
        </w:rPr>
      </w:pPr>
      <w:r w:rsidRPr="00212DF7">
        <w:rPr>
          <w:lang w:val="fr-FR"/>
        </w:rPr>
        <w:t>Couvrir l'ensemble du processus de production avec une seule et même technologie</w:t>
      </w:r>
    </w:p>
    <w:p w14:paraId="1538425A" w14:textId="77777777" w:rsidR="006E656E" w:rsidRPr="00212DF7" w:rsidRDefault="006E656E" w:rsidP="006E656E">
      <w:pPr>
        <w:rPr>
          <w:lang w:val="fr-FR"/>
        </w:rPr>
      </w:pPr>
    </w:p>
    <w:p w14:paraId="41CC21DB" w14:textId="20B70AD7" w:rsidR="00212DF7" w:rsidRDefault="00212DF7" w:rsidP="00212DF7">
      <w:pPr>
        <w:pStyle w:val="Presse-Fliesstext"/>
        <w:rPr>
          <w:lang w:val="fr-FR"/>
        </w:rPr>
      </w:pPr>
      <w:r w:rsidRPr="00212DF7">
        <w:rPr>
          <w:lang w:val="fr-FR"/>
        </w:rPr>
        <w:t>Doser des petites quantités avec une précision et une rapidité volumétrique est souvent un grand défi qui se pose aux entreprises du secteur médical, automobile, électronique, biochimie et photonique. Afin de pouvoir respecter les propriétés chimiques et physiques de tous les matériaux à mélanger et à doser, les fabricants industriels intègrent souvent dans leurs chaînes de production divers systèmes de dosage provenant de différents fournisseurs. La marque preeflow, dont les technologies de dosage permettent de traiter la gamme de matériaux la plus large possible (des silicones, colles, graisses, huiles, résines, mastics ou pâtes, etc.), fonctionne de manière fiable et précise, même à des cadences très élevées.</w:t>
      </w:r>
    </w:p>
    <w:p w14:paraId="29279081" w14:textId="77777777" w:rsidR="00212DF7" w:rsidRPr="00212DF7" w:rsidRDefault="00212DF7" w:rsidP="00212DF7">
      <w:pPr>
        <w:pStyle w:val="Presse-Fliesstext"/>
        <w:rPr>
          <w:lang w:val="fr-FR"/>
        </w:rPr>
      </w:pPr>
    </w:p>
    <w:p w14:paraId="4F3BACD1" w14:textId="395B0EF6" w:rsidR="00212DF7" w:rsidRDefault="00212DF7" w:rsidP="00212DF7">
      <w:pPr>
        <w:pStyle w:val="Presse-Fliesstext"/>
        <w:rPr>
          <w:lang w:val="fr-FR"/>
        </w:rPr>
      </w:pPr>
      <w:r w:rsidRPr="00212DF7">
        <w:rPr>
          <w:lang w:val="fr-FR"/>
        </w:rPr>
        <w:t>Il existe des systèmes de dosage mono-composant 1K (eco-PEN), des pulvérisateurs (eco-SPRAY) et des variantes de dosage bi-composants 2K (eco-DUO). Ils sont tous basés sur le même principe de fonctionnement des pompes à cavité progressive et ils conviennent aussi bien à un fonctionnement manuel qu'à une utilisation entièrement automatisée. Le principe dit du piston sans fin assure un dosage purement volumétrique et sans pulsation, et délivre un matériau de viscosité variable inchangé tout au long du processus.</w:t>
      </w:r>
    </w:p>
    <w:p w14:paraId="314ED999" w14:textId="77777777" w:rsidR="00212DF7" w:rsidRPr="00212DF7" w:rsidRDefault="00212DF7" w:rsidP="00212DF7">
      <w:pPr>
        <w:pStyle w:val="Presse-Fliesstext"/>
        <w:rPr>
          <w:lang w:val="fr-FR"/>
        </w:rPr>
      </w:pPr>
    </w:p>
    <w:p w14:paraId="3F61BB19" w14:textId="103C466C" w:rsidR="00212DF7" w:rsidRDefault="00212DF7" w:rsidP="00212DF7">
      <w:pPr>
        <w:pStyle w:val="Presse-Fliesstext"/>
        <w:rPr>
          <w:lang w:val="fr-FR"/>
        </w:rPr>
      </w:pPr>
      <w:r w:rsidRPr="00212DF7">
        <w:rPr>
          <w:lang w:val="fr-FR"/>
        </w:rPr>
        <w:t>Notre équipe interne de recherche et développement adapte continuellement les systèmes mentionnés ci-dessus à une gamme de plus en plus large de matériaux pouvant être traités industriellement en tenant compte de paramètres tels que la composition du matériau et sa viscosité. Le dosage des colles - photodurcissables, thermodurcissables, anaérobies, sensibles au cisaillement - est donc aussi simple que l'application de pâtes à souder, l'application de pâtes conductrices de chaleur ou le dosage de résines LED, pour n'en citer que quelques-uns. L'effet de réaspiration garantit une rupture de fil propre et contrôlée quel que soit le matériau.</w:t>
      </w:r>
    </w:p>
    <w:p w14:paraId="73665F18" w14:textId="77777777" w:rsidR="00F47E64" w:rsidRPr="00212DF7" w:rsidRDefault="00F47E64" w:rsidP="00212DF7">
      <w:pPr>
        <w:pStyle w:val="Presse-Fliesstext"/>
        <w:rPr>
          <w:lang w:val="fr-FR"/>
        </w:rPr>
      </w:pPr>
    </w:p>
    <w:p w14:paraId="23537A83" w14:textId="1ACDA54D" w:rsidR="00212DF7" w:rsidRDefault="00212DF7" w:rsidP="00212DF7">
      <w:pPr>
        <w:pStyle w:val="Untertitel"/>
        <w:rPr>
          <w:rStyle w:val="Fett"/>
          <w:b/>
          <w:bCs w:val="0"/>
          <w:lang w:val="fr-FR"/>
        </w:rPr>
      </w:pPr>
      <w:r w:rsidRPr="00212DF7">
        <w:rPr>
          <w:rStyle w:val="Fett"/>
          <w:b/>
          <w:bCs w:val="0"/>
          <w:lang w:val="fr-FR"/>
        </w:rPr>
        <w:t>Une solution adaptée à chaque application de dosage</w:t>
      </w:r>
    </w:p>
    <w:p w14:paraId="5E4B31D2" w14:textId="77777777" w:rsidR="00212DF7" w:rsidRPr="00212DF7" w:rsidRDefault="00212DF7" w:rsidP="00212DF7">
      <w:pPr>
        <w:rPr>
          <w:lang w:val="fr-FR"/>
        </w:rPr>
      </w:pPr>
    </w:p>
    <w:p w14:paraId="548FB18E" w14:textId="05C31DA2" w:rsidR="00212DF7" w:rsidRDefault="00212DF7" w:rsidP="00212DF7">
      <w:pPr>
        <w:pStyle w:val="Presse-Fliesstext"/>
        <w:rPr>
          <w:rStyle w:val="Fett"/>
          <w:b w:val="0"/>
          <w:bCs w:val="0"/>
          <w:lang w:val="fr-FR"/>
        </w:rPr>
      </w:pPr>
      <w:r w:rsidRPr="00212DF7">
        <w:rPr>
          <w:rStyle w:val="Fett"/>
          <w:b w:val="0"/>
          <w:bCs w:val="0"/>
          <w:lang w:val="fr-FR"/>
        </w:rPr>
        <w:t>Toutes ces solutions sont conçues précisément pour répondre aux différentes applications industrielles.</w:t>
      </w:r>
    </w:p>
    <w:p w14:paraId="29548940" w14:textId="77777777" w:rsidR="00212DF7" w:rsidRPr="00212DF7" w:rsidRDefault="00212DF7" w:rsidP="00212DF7">
      <w:pPr>
        <w:pStyle w:val="Presse-Fliesstext"/>
        <w:rPr>
          <w:rStyle w:val="Fett"/>
          <w:b w:val="0"/>
          <w:bCs w:val="0"/>
          <w:lang w:val="fr-FR"/>
        </w:rPr>
      </w:pPr>
    </w:p>
    <w:p w14:paraId="279B76BE" w14:textId="2B2214F9" w:rsidR="00212DF7" w:rsidRDefault="00212DF7" w:rsidP="00212DF7">
      <w:pPr>
        <w:pStyle w:val="Presse-Fliesstext"/>
        <w:rPr>
          <w:lang w:val="fr-FR"/>
        </w:rPr>
      </w:pPr>
      <w:r w:rsidRPr="00212DF7">
        <w:rPr>
          <w:lang w:val="fr-FR"/>
        </w:rPr>
        <w:t>Comme les deux autres systèmes de dosage, le pulvérisateur est basé sur un système de déplacement rotatif, complètement étanche à la pression. Des mouvements rotatifs définis du rotor déplacent le matériau de manière volumétrique dans le stator et le transportent dans une chambre de pulvérisation à faible débit contrôlée par le processeur, où une atomisation et une pulvérisation précises ont alors lieu. Le pulvérisateur peut être utilisé en mode manuel ou automatisé, en utilisant un matériau de faible à haute viscosité, pour créer un bord bien défini avec un minimum d'overspray, qui peut être pulvérisé soit en continu soit sporadiquement.</w:t>
      </w:r>
    </w:p>
    <w:p w14:paraId="558B5B30" w14:textId="77777777" w:rsidR="00212DF7" w:rsidRPr="00212DF7" w:rsidRDefault="00212DF7" w:rsidP="00212DF7">
      <w:pPr>
        <w:pStyle w:val="Presse-Fliesstext"/>
        <w:rPr>
          <w:lang w:val="fr-FR"/>
        </w:rPr>
      </w:pPr>
    </w:p>
    <w:p w14:paraId="12272EEB" w14:textId="77777777" w:rsidR="00212DF7" w:rsidRPr="00212DF7" w:rsidRDefault="00212DF7" w:rsidP="00212DF7">
      <w:pPr>
        <w:pStyle w:val="Presse-Fliesstext"/>
        <w:rPr>
          <w:lang w:val="fr-FR"/>
        </w:rPr>
      </w:pPr>
      <w:r w:rsidRPr="00212DF7">
        <w:rPr>
          <w:lang w:val="fr-FR"/>
        </w:rPr>
        <w:t>Le doseur 1K a été conçu pour le dosage des matériaux mono-composants. Le dosage précis de liquides aqueux à pâteux est possible même avec de petites quantités. Le doseur 1K mono-composant a été conçu pour pouvoir être utilisé indépendamment des fluctuations de viscosité et pour garantir un dosage propre - en mode manuel, comme appareil de bureau ou automatisé via une unité de contrôle.</w:t>
      </w:r>
    </w:p>
    <w:p w14:paraId="043FA353" w14:textId="77777777" w:rsidR="00212DF7" w:rsidRPr="00212DF7" w:rsidRDefault="00212DF7" w:rsidP="00212DF7">
      <w:pPr>
        <w:pStyle w:val="Presse-Fliesstext"/>
        <w:rPr>
          <w:lang w:val="fr-FR"/>
        </w:rPr>
      </w:pPr>
    </w:p>
    <w:p w14:paraId="1869523D" w14:textId="5E362C42" w:rsidR="00212DF7" w:rsidRDefault="00212DF7" w:rsidP="00212DF7">
      <w:pPr>
        <w:pStyle w:val="Presse-Fliesstext"/>
        <w:rPr>
          <w:lang w:val="fr-FR"/>
        </w:rPr>
      </w:pPr>
      <w:r w:rsidRPr="00212DF7">
        <w:rPr>
          <w:lang w:val="fr-FR"/>
        </w:rPr>
        <w:t>Pour les doseurs bi-composants 2K, il existe des systèmes pour le traitement classique de différents matériaux 2K et un modèle techniquement adapté aux exigences des matériaux extrêmement difficiles à mélanger. Le doseur 2K classique est disponible en trois modèles, selon la quantité à doser. L'application se fait soit par des mélangeurs statiques, dans lesquels les deux composants sont mélangés avant l'application ou, parfait pour tous les matériaux visqueux à deux composants difficiles à mélanger, via une capsule de mélange avec un espace mort optimisé.</w:t>
      </w:r>
    </w:p>
    <w:p w14:paraId="05D367A8" w14:textId="77777777" w:rsidR="00212DF7" w:rsidRPr="00212DF7" w:rsidRDefault="00212DF7" w:rsidP="00212DF7">
      <w:pPr>
        <w:pStyle w:val="Presse-Fliesstext"/>
        <w:rPr>
          <w:lang w:val="fr-FR"/>
        </w:rPr>
      </w:pPr>
    </w:p>
    <w:p w14:paraId="1B84B2A6" w14:textId="1A3C3C39" w:rsidR="00212DF7" w:rsidRDefault="00212DF7" w:rsidP="00212DF7">
      <w:pPr>
        <w:pStyle w:val="Untertitel"/>
        <w:rPr>
          <w:rStyle w:val="Fett"/>
          <w:b/>
          <w:bCs w:val="0"/>
          <w:lang w:val="fr-FR"/>
        </w:rPr>
      </w:pPr>
      <w:r w:rsidRPr="00212DF7">
        <w:rPr>
          <w:rStyle w:val="Fett"/>
          <w:b/>
          <w:bCs w:val="0"/>
          <w:lang w:val="fr-FR"/>
        </w:rPr>
        <w:t>Rationalisation du stockage et réduction des coûts de service</w:t>
      </w:r>
    </w:p>
    <w:p w14:paraId="13DF2649" w14:textId="77777777" w:rsidR="00212DF7" w:rsidRPr="00212DF7" w:rsidRDefault="00212DF7" w:rsidP="00212DF7">
      <w:pPr>
        <w:rPr>
          <w:lang w:val="fr-FR"/>
        </w:rPr>
      </w:pPr>
    </w:p>
    <w:p w14:paraId="4CC63E87" w14:textId="72CC6E3F" w:rsidR="00212DF7" w:rsidRDefault="00212DF7" w:rsidP="00212DF7">
      <w:pPr>
        <w:pStyle w:val="Presse-Fliesstext"/>
        <w:rPr>
          <w:lang w:val="fr-FR"/>
        </w:rPr>
      </w:pPr>
      <w:r w:rsidRPr="00212DF7">
        <w:rPr>
          <w:lang w:val="fr-FR"/>
        </w:rPr>
        <w:t>Les technologies mentionnées ci-dessus peuvent être utilisées seules ou, selon les besoins, tout au long du processus d’une chaîne de production. Ils ont tous le même système de contrôle avec surveillance intégrée de la pression. Il permet de définir les quantités à doser, le rapport de mélange ou même le temps de dosage. Chaque unité de commande est calibrée et les différentes fonctions sont paramétrées via un programme terminal standardisé. Un système intégré de surveillance des moteurs sert de protection contre les surcharges des doseurs et peut traiter les messages d'erreur et les transmettre à un système de niveau supérieur si nécessaire.</w:t>
      </w:r>
    </w:p>
    <w:p w14:paraId="27AE5BC7" w14:textId="77777777" w:rsidR="00212DF7" w:rsidRPr="00212DF7" w:rsidRDefault="00212DF7" w:rsidP="00212DF7">
      <w:pPr>
        <w:pStyle w:val="Presse-Fliesstext"/>
        <w:rPr>
          <w:lang w:val="fr-FR"/>
        </w:rPr>
      </w:pPr>
    </w:p>
    <w:p w14:paraId="6C59B208" w14:textId="77777777" w:rsidR="00212DF7" w:rsidRPr="00212DF7" w:rsidRDefault="00212DF7" w:rsidP="00212DF7">
      <w:pPr>
        <w:pStyle w:val="Presse-Fliesstext"/>
        <w:rPr>
          <w:lang w:val="fr-FR"/>
        </w:rPr>
      </w:pPr>
      <w:r w:rsidRPr="00212DF7">
        <w:rPr>
          <w:lang w:val="fr-FR"/>
        </w:rPr>
        <w:t>Si les fabricants utilisent les différents doseurs à différentes étapes d’un processus, comme le collage traditionnel et le scellage par pulvérisation ultérieur du carton entièrement assemblé, ils bénéficient du même principe actif aux deux étapes du processus et investissent dans la fiabilité du processus grâce à des structures homogènes. Enfin, l'utilisation de systèmes d'une même marque peut simplifier considérablement le stockage des consommables et des pièces de rechange. La planification des appels de service devient beaucoup plus facile lorsque l'on utilise la même technologie et se traduit en fin de compte par une réduction des coûts de maintenance.</w:t>
      </w:r>
    </w:p>
    <w:p w14:paraId="76C9D69A" w14:textId="77777777" w:rsidR="006E656E" w:rsidRPr="00212DF7" w:rsidRDefault="006E656E" w:rsidP="006E656E">
      <w:pPr>
        <w:rPr>
          <w:lang w:val="fr-FR"/>
        </w:rPr>
      </w:pPr>
    </w:p>
    <w:p w14:paraId="383AC8B5" w14:textId="77777777" w:rsidR="006E656E" w:rsidRPr="00212DF7" w:rsidRDefault="006E656E" w:rsidP="006E656E">
      <w:pPr>
        <w:rPr>
          <w:lang w:val="fr-FR"/>
        </w:rPr>
      </w:pPr>
    </w:p>
    <w:p w14:paraId="42329DD9" w14:textId="77777777" w:rsidR="006E656E" w:rsidRPr="00212DF7" w:rsidRDefault="006E656E" w:rsidP="006E656E">
      <w:pPr>
        <w:rPr>
          <w:lang w:val="fr-FR"/>
        </w:rPr>
      </w:pPr>
    </w:p>
    <w:p w14:paraId="2ADE5C5C" w14:textId="26072847" w:rsidR="006E656E" w:rsidRPr="00212DF7" w:rsidRDefault="00212DF7" w:rsidP="006E656E">
      <w:pPr>
        <w:rPr>
          <w:lang w:val="fr-FR"/>
        </w:rPr>
      </w:pPr>
      <w:r>
        <w:rPr>
          <w:lang w:val="fr-FR"/>
        </w:rPr>
        <w:t>5.165</w:t>
      </w:r>
      <w:r w:rsidR="006E656E" w:rsidRPr="00212DF7">
        <w:rPr>
          <w:color w:val="FF0000"/>
          <w:lang w:val="fr-FR"/>
        </w:rPr>
        <w:t xml:space="preserve"> </w:t>
      </w:r>
      <w:r w:rsidR="003C5053" w:rsidRPr="00212DF7">
        <w:rPr>
          <w:lang w:val="fr-FR"/>
        </w:rPr>
        <w:t>caractères, y compris les espaces. Réimpression gratuite. Copie sur demande.</w:t>
      </w:r>
    </w:p>
    <w:p w14:paraId="2F89F6B0" w14:textId="77777777" w:rsidR="006E656E" w:rsidRPr="00212DF7" w:rsidRDefault="006E656E" w:rsidP="006E656E">
      <w:pPr>
        <w:rPr>
          <w:lang w:val="fr-FR"/>
        </w:rPr>
      </w:pPr>
    </w:p>
    <w:p w14:paraId="5AC9796E" w14:textId="77777777" w:rsidR="006E656E" w:rsidRPr="00212DF7" w:rsidRDefault="006E656E" w:rsidP="006E656E">
      <w:pPr>
        <w:rPr>
          <w:lang w:val="fr-FR"/>
        </w:rPr>
      </w:pPr>
    </w:p>
    <w:p w14:paraId="7E445357" w14:textId="77777777" w:rsidR="006E656E" w:rsidRPr="00212DF7" w:rsidRDefault="006E656E" w:rsidP="006E656E">
      <w:pPr>
        <w:rPr>
          <w:lang w:val="fr-FR"/>
        </w:rPr>
      </w:pPr>
    </w:p>
    <w:p w14:paraId="1E3E1D67" w14:textId="68E1CD3C" w:rsidR="006E656E" w:rsidRPr="00212DF7" w:rsidRDefault="00212DF7" w:rsidP="006E656E">
      <w:pPr>
        <w:pStyle w:val="Untertitel"/>
        <w:rPr>
          <w:lang w:val="fr-FR"/>
        </w:rPr>
      </w:pPr>
      <w:r>
        <w:rPr>
          <w:lang w:val="fr-FR"/>
        </w:rPr>
        <w:t>Photos</w:t>
      </w:r>
      <w:r w:rsidR="006E656E" w:rsidRPr="00212DF7">
        <w:rPr>
          <w:lang w:val="fr-FR"/>
        </w:rPr>
        <w:t>:</w:t>
      </w:r>
    </w:p>
    <w:p w14:paraId="47BD274F" w14:textId="43CEE3BA" w:rsidR="00212DF7" w:rsidRDefault="00212DF7" w:rsidP="00212DF7">
      <w:pPr>
        <w:pStyle w:val="Bildunterschrift"/>
      </w:pPr>
      <w:r>
        <w:rPr>
          <w:noProof/>
        </w:rPr>
        <w:drawing>
          <wp:inline distT="0" distB="0" distL="0" distR="0" wp14:anchorId="535656D4" wp14:editId="768412B7">
            <wp:extent cx="1924050" cy="1285875"/>
            <wp:effectExtent l="19050" t="19050" r="19050" b="285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050" cy="1285875"/>
                    </a:xfrm>
                    <a:prstGeom prst="rect">
                      <a:avLst/>
                    </a:prstGeom>
                    <a:noFill/>
                    <a:ln w="9525" cmpd="sng">
                      <a:solidFill>
                        <a:srgbClr val="000000"/>
                      </a:solidFill>
                      <a:miter lim="800000"/>
                      <a:headEnd/>
                      <a:tailEnd/>
                    </a:ln>
                    <a:effectLst/>
                  </pic:spPr>
                </pic:pic>
              </a:graphicData>
            </a:graphic>
          </wp:inline>
        </w:drawing>
      </w:r>
    </w:p>
    <w:p w14:paraId="7C7414ED" w14:textId="77777777" w:rsidR="00212DF7" w:rsidRDefault="00212DF7" w:rsidP="00212DF7">
      <w:pPr>
        <w:pStyle w:val="Bildunterschrift"/>
        <w:rPr>
          <w:rFonts w:asciiTheme="minorHAnsi" w:hAnsiTheme="minorHAnsi" w:cstheme="minorBidi"/>
          <w:lang w:val="fr-FR"/>
        </w:rPr>
      </w:pPr>
      <w:r>
        <w:t>Doser les plus petites quantités avec une précision absolue et une précision de répétition - c'est ce que représente la marque preeflow</w:t>
      </w:r>
    </w:p>
    <w:p w14:paraId="2F1513FB" w14:textId="1B16A92D" w:rsidR="00212DF7" w:rsidRDefault="00212DF7" w:rsidP="00212DF7">
      <w:pPr>
        <w:pStyle w:val="Bildunterschrift"/>
      </w:pPr>
      <w:r>
        <w:rPr>
          <w:noProof/>
        </w:rPr>
        <w:drawing>
          <wp:inline distT="0" distB="0" distL="0" distR="0" wp14:anchorId="324DDE94" wp14:editId="675DF897">
            <wp:extent cx="1895475" cy="1257300"/>
            <wp:effectExtent l="19050" t="19050" r="28575" b="190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475" cy="1257300"/>
                    </a:xfrm>
                    <a:prstGeom prst="rect">
                      <a:avLst/>
                    </a:prstGeom>
                    <a:noFill/>
                    <a:ln w="9525" cmpd="sng">
                      <a:solidFill>
                        <a:srgbClr val="000000"/>
                      </a:solidFill>
                      <a:miter lim="800000"/>
                      <a:headEnd/>
                      <a:tailEnd/>
                    </a:ln>
                    <a:effectLst/>
                  </pic:spPr>
                </pic:pic>
              </a:graphicData>
            </a:graphic>
          </wp:inline>
        </w:drawing>
      </w:r>
    </w:p>
    <w:p w14:paraId="011F3E04" w14:textId="77777777" w:rsidR="00212DF7" w:rsidRDefault="00212DF7" w:rsidP="00212DF7">
      <w:pPr>
        <w:pStyle w:val="Bildunterschrift"/>
        <w:rPr>
          <w:rFonts w:asciiTheme="minorHAnsi" w:hAnsiTheme="minorHAnsi" w:cstheme="minorBidi"/>
          <w:lang w:val="fr-FR"/>
        </w:rPr>
      </w:pPr>
      <w:r>
        <w:t>L’ensemble des eco-PEN et eco-DUO de chez preeflow peuvent être facilement intégrés dans les processus de production existants</w:t>
      </w:r>
    </w:p>
    <w:p w14:paraId="4063699A" w14:textId="18BC4D0D" w:rsidR="00212DF7" w:rsidRDefault="00212DF7" w:rsidP="00212DF7">
      <w:pPr>
        <w:pStyle w:val="Bildunterschrift"/>
      </w:pPr>
      <w:r>
        <w:rPr>
          <w:noProof/>
        </w:rPr>
        <w:drawing>
          <wp:inline distT="0" distB="0" distL="0" distR="0" wp14:anchorId="7060AC41" wp14:editId="789F779A">
            <wp:extent cx="1943100" cy="1095375"/>
            <wp:effectExtent l="19050" t="19050" r="19050" b="285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095375"/>
                    </a:xfrm>
                    <a:prstGeom prst="rect">
                      <a:avLst/>
                    </a:prstGeom>
                    <a:noFill/>
                    <a:ln w="9525" cmpd="sng">
                      <a:solidFill>
                        <a:srgbClr val="000000"/>
                      </a:solidFill>
                      <a:miter lim="800000"/>
                      <a:headEnd/>
                      <a:tailEnd/>
                    </a:ln>
                    <a:effectLst/>
                  </pic:spPr>
                </pic:pic>
              </a:graphicData>
            </a:graphic>
          </wp:inline>
        </w:drawing>
      </w:r>
    </w:p>
    <w:p w14:paraId="21849F73" w14:textId="77777777" w:rsidR="00212DF7" w:rsidRDefault="00212DF7" w:rsidP="00212DF7">
      <w:pPr>
        <w:pStyle w:val="Bildunterschrift"/>
        <w:rPr>
          <w:rFonts w:asciiTheme="minorHAnsi" w:hAnsiTheme="minorHAnsi" w:cstheme="minorBidi"/>
          <w:lang w:val="fr-FR"/>
        </w:rPr>
      </w:pPr>
      <w:r>
        <w:t>Les doseurs précis sont parfaitement adaptés au dosage de très petites quantités de matériaux abrasifs</w:t>
      </w:r>
    </w:p>
    <w:p w14:paraId="711A9474" w14:textId="77777777" w:rsidR="006E656E" w:rsidRPr="00212DF7" w:rsidRDefault="006E656E" w:rsidP="006E656E">
      <w:pPr>
        <w:rPr>
          <w:lang w:val="fr-FR" w:eastAsia="de-DE"/>
        </w:rPr>
      </w:pPr>
    </w:p>
    <w:p w14:paraId="23BE1C4E" w14:textId="77777777" w:rsidR="006E656E" w:rsidRPr="00212DF7" w:rsidRDefault="006E656E" w:rsidP="006E656E">
      <w:pPr>
        <w:rPr>
          <w:lang w:val="fr-FR" w:eastAsia="de-DE"/>
        </w:rPr>
      </w:pPr>
    </w:p>
    <w:p w14:paraId="4F50A10B" w14:textId="01FFCE8A" w:rsidR="006E656E" w:rsidRPr="00212DF7" w:rsidRDefault="006E656E" w:rsidP="006E656E">
      <w:pPr>
        <w:pStyle w:val="Untertitel"/>
        <w:rPr>
          <w:lang w:val="fr-FR"/>
        </w:rPr>
      </w:pPr>
      <w:r w:rsidRPr="00212DF7">
        <w:rPr>
          <w:lang w:val="fr-FR"/>
        </w:rPr>
        <w:t>Micro</w:t>
      </w:r>
      <w:r w:rsidR="003C5053" w:rsidRPr="00212DF7">
        <w:rPr>
          <w:lang w:val="fr-FR"/>
        </w:rPr>
        <w:t>dosage à la perfection</w:t>
      </w:r>
      <w:r w:rsidRPr="00212DF7">
        <w:rPr>
          <w:lang w:val="fr-FR"/>
        </w:rPr>
        <w:t>!</w:t>
      </w:r>
    </w:p>
    <w:p w14:paraId="121A994D" w14:textId="414CF8E8" w:rsidR="006E656E" w:rsidRPr="00212DF7" w:rsidRDefault="003C5053" w:rsidP="006E656E">
      <w:pPr>
        <w:rPr>
          <w:lang w:val="fr-FR"/>
        </w:rPr>
      </w:pPr>
      <w:r w:rsidRPr="00212DF7">
        <w:rPr>
          <w:lang w:val="fr-FR"/>
        </w:rPr>
        <w:t xml:space="preserve">preeflow® est une marque de ViscoTec Pumpen- u. Dosiertechnik GmbH. ViscoTec s'occupe principalement des systèmes nécessaires au transport, au dosage, à l'application, au remplissage et à la vidange de fluides de moyenne à haute viscosité. Le siège du leader technologique du marché se trouve à Töging (Haute-Bavière, près de Munich). En outre, ViscoTec possède des filiales aux États-Unis, en Chine, à Singapour, en Inde et en France et emploie environ 260 personnes dans le monde entier. Créé en 2008, preeflow® assure une distribution précise et purement volumétrique de liquides dans les plus petites quantités. Les produits preeflow® sont appréciés dans le monde entier, sans oublier leur qualité unique - Made in Germany. </w:t>
      </w:r>
      <w:r w:rsidR="00A74026" w:rsidRPr="00212DF7">
        <w:rPr>
          <w:lang w:val="fr-FR"/>
        </w:rPr>
        <w:t>Un réseau de distribution international offre un service et un soutien professionnels dans tous les domaines des systèmes de distribution Preeflow®. Les différents domaines d'application comprennent, entre autres, l'industrie automobile, électrique et électronique, la technologie médicale, l'aérospatiale, les énergies renouvelables, la technologie électrique et hybride et la technologie des mesures et des capteurs. L'ensemble des produits de la gamme preeflow® peut être facilement intégré grâce à des interfaces standardisées. Dans le monde entier, plus de 20 000 systèmes preeflow® fonctionnent dans des applications de distribution semi- ou entièrement automatisées, à l'entière satisfaction de l'utilisateur et du client.</w:t>
      </w:r>
    </w:p>
    <w:p w14:paraId="2177E662" w14:textId="77777777" w:rsidR="006E656E" w:rsidRPr="00212DF7" w:rsidRDefault="006E656E" w:rsidP="006E656E">
      <w:pPr>
        <w:rPr>
          <w:lang w:val="fr-FR"/>
        </w:rPr>
      </w:pPr>
    </w:p>
    <w:p w14:paraId="0FCDF50D" w14:textId="77777777" w:rsidR="006E656E" w:rsidRPr="00212DF7" w:rsidRDefault="006E656E" w:rsidP="006E656E">
      <w:pPr>
        <w:rPr>
          <w:lang w:val="fr-FR"/>
        </w:rPr>
      </w:pPr>
    </w:p>
    <w:p w14:paraId="6B3EB715" w14:textId="77777777" w:rsidR="006E656E" w:rsidRPr="00212DF7" w:rsidRDefault="006E656E" w:rsidP="006E656E">
      <w:pPr>
        <w:rPr>
          <w:lang w:val="fr-FR"/>
        </w:rPr>
      </w:pPr>
    </w:p>
    <w:p w14:paraId="68C147C9" w14:textId="77777777" w:rsidR="00212DF7" w:rsidRDefault="00212DF7" w:rsidP="006E656E">
      <w:pPr>
        <w:pStyle w:val="Untertitel"/>
        <w:rPr>
          <w:lang w:val="fr-FR"/>
        </w:rPr>
      </w:pPr>
    </w:p>
    <w:p w14:paraId="457D9851" w14:textId="77777777" w:rsidR="00212DF7" w:rsidRDefault="00212DF7" w:rsidP="006E656E">
      <w:pPr>
        <w:pStyle w:val="Untertitel"/>
        <w:rPr>
          <w:lang w:val="fr-FR"/>
        </w:rPr>
      </w:pPr>
    </w:p>
    <w:p w14:paraId="600285C8" w14:textId="59EBC8A7" w:rsidR="006E656E" w:rsidRPr="00212DF7" w:rsidRDefault="006E656E" w:rsidP="006E656E">
      <w:pPr>
        <w:pStyle w:val="Untertitel"/>
        <w:rPr>
          <w:lang w:val="fr-FR"/>
        </w:rPr>
      </w:pPr>
      <w:r w:rsidRPr="00212DF7">
        <w:rPr>
          <w:lang w:val="fr-FR"/>
        </w:rPr>
        <w:t>Press contact:</w:t>
      </w:r>
    </w:p>
    <w:p w14:paraId="5BD32BE3" w14:textId="77777777" w:rsidR="006E656E" w:rsidRPr="00212DF7" w:rsidRDefault="006E656E" w:rsidP="006E656E">
      <w:pPr>
        <w:rPr>
          <w:lang w:val="fr-FR"/>
        </w:rPr>
      </w:pPr>
    </w:p>
    <w:p w14:paraId="4F478253" w14:textId="77777777" w:rsidR="006E656E" w:rsidRPr="00212DF7" w:rsidRDefault="006E656E" w:rsidP="006E656E">
      <w:pPr>
        <w:rPr>
          <w:lang w:val="fr-FR"/>
        </w:rPr>
      </w:pPr>
      <w:r w:rsidRPr="00212DF7">
        <w:rPr>
          <w:lang w:val="fr-FR"/>
        </w:rPr>
        <w:t>Thomas Diringer, Manager Business Unit Components &amp; Devices</w:t>
      </w:r>
    </w:p>
    <w:p w14:paraId="055F8259" w14:textId="77777777" w:rsidR="006E656E" w:rsidRPr="00212DF7" w:rsidRDefault="006E656E" w:rsidP="006E656E">
      <w:pPr>
        <w:rPr>
          <w:lang w:val="fr-FR"/>
        </w:rPr>
      </w:pPr>
      <w:r w:rsidRPr="00212DF7">
        <w:rPr>
          <w:lang w:val="fr-FR"/>
        </w:rPr>
        <w:t>ViscoTec Pumpen- u. Dosiertechnik GmbH</w:t>
      </w:r>
    </w:p>
    <w:p w14:paraId="3C183BCA" w14:textId="77777777" w:rsidR="006E656E" w:rsidRPr="00212DF7" w:rsidRDefault="006E656E" w:rsidP="006E656E">
      <w:pPr>
        <w:rPr>
          <w:lang w:val="fr-FR"/>
        </w:rPr>
      </w:pPr>
      <w:r w:rsidRPr="00212DF7">
        <w:rPr>
          <w:lang w:val="fr-FR"/>
        </w:rPr>
        <w:t>Amperstraße 13, D-84513 Töging a. Inn</w:t>
      </w:r>
    </w:p>
    <w:p w14:paraId="08BA9BB6" w14:textId="77777777" w:rsidR="006E656E" w:rsidRPr="00212DF7" w:rsidRDefault="006E656E" w:rsidP="006E656E">
      <w:pPr>
        <w:rPr>
          <w:lang w:val="fr-FR"/>
        </w:rPr>
      </w:pPr>
      <w:r w:rsidRPr="00212DF7">
        <w:rPr>
          <w:lang w:val="fr-FR"/>
        </w:rPr>
        <w:t xml:space="preserve">Phone +49 8631 9274-441 </w:t>
      </w:r>
    </w:p>
    <w:p w14:paraId="79F45B19" w14:textId="77777777" w:rsidR="006E656E" w:rsidRPr="00212DF7" w:rsidRDefault="006E656E" w:rsidP="006E656E">
      <w:pPr>
        <w:rPr>
          <w:lang w:val="fr-FR"/>
        </w:rPr>
      </w:pPr>
      <w:r w:rsidRPr="00212DF7">
        <w:rPr>
          <w:lang w:val="fr-FR"/>
        </w:rPr>
        <w:t>E-Mail: thomas.diringer@viscotec.de · www.preeflow.com</w:t>
      </w:r>
    </w:p>
    <w:p w14:paraId="2E57C0F3" w14:textId="77777777" w:rsidR="006E656E" w:rsidRPr="00212DF7" w:rsidRDefault="006E656E" w:rsidP="006E656E">
      <w:pPr>
        <w:rPr>
          <w:lang w:val="fr-FR"/>
        </w:rPr>
      </w:pPr>
    </w:p>
    <w:p w14:paraId="7791EF49" w14:textId="77777777" w:rsidR="006E656E" w:rsidRPr="00212DF7" w:rsidRDefault="006E656E" w:rsidP="006E656E">
      <w:pPr>
        <w:rPr>
          <w:lang w:val="fr-FR"/>
        </w:rPr>
      </w:pPr>
      <w:r w:rsidRPr="00212DF7">
        <w:rPr>
          <w:lang w:val="fr-FR"/>
        </w:rPr>
        <w:t>Melanie Hintereder, Marketing</w:t>
      </w:r>
    </w:p>
    <w:p w14:paraId="3495A886" w14:textId="77777777" w:rsidR="006E656E" w:rsidRPr="00212DF7" w:rsidRDefault="006E656E" w:rsidP="006E656E">
      <w:pPr>
        <w:rPr>
          <w:lang w:val="fr-FR"/>
        </w:rPr>
      </w:pPr>
      <w:r w:rsidRPr="00212DF7">
        <w:rPr>
          <w:lang w:val="fr-FR"/>
        </w:rPr>
        <w:t>ViscoTec Pumpen- u. Dosiertechnik GmbH</w:t>
      </w:r>
    </w:p>
    <w:p w14:paraId="6C6EF0D2" w14:textId="77777777" w:rsidR="006E656E" w:rsidRPr="00212DF7" w:rsidRDefault="006E656E" w:rsidP="006E656E">
      <w:pPr>
        <w:rPr>
          <w:lang w:val="fr-FR"/>
        </w:rPr>
      </w:pPr>
      <w:r w:rsidRPr="00212DF7">
        <w:rPr>
          <w:lang w:val="fr-FR"/>
        </w:rPr>
        <w:t>Amperstraße 13, D-84513 Töging a. Inn</w:t>
      </w:r>
    </w:p>
    <w:p w14:paraId="7719A7D0" w14:textId="77777777" w:rsidR="006E656E" w:rsidRPr="00212DF7" w:rsidRDefault="006E656E" w:rsidP="006E656E">
      <w:pPr>
        <w:rPr>
          <w:lang w:val="fr-FR"/>
        </w:rPr>
      </w:pPr>
      <w:r w:rsidRPr="00212DF7">
        <w:rPr>
          <w:lang w:val="fr-FR"/>
        </w:rPr>
        <w:t xml:space="preserve">Phone +49 8631 9274-404 </w:t>
      </w:r>
    </w:p>
    <w:p w14:paraId="2E47DCC3" w14:textId="77777777" w:rsidR="006E656E" w:rsidRPr="00212DF7" w:rsidRDefault="006E656E" w:rsidP="006E656E">
      <w:pPr>
        <w:rPr>
          <w:sz w:val="24"/>
          <w:szCs w:val="24"/>
          <w:lang w:val="fr-FR"/>
        </w:rPr>
      </w:pPr>
      <w:r w:rsidRPr="00212DF7">
        <w:rPr>
          <w:lang w:val="fr-FR"/>
        </w:rPr>
        <w:t>E-Mail: melanie.hintereder@viscotec.de · www.viscotec.de</w:t>
      </w:r>
    </w:p>
    <w:bookmarkEnd w:id="0"/>
    <w:sectPr w:rsidR="006E656E" w:rsidRPr="00212DF7" w:rsidSect="00FF2E2A">
      <w:headerReference w:type="default" r:id="rId11"/>
      <w:footerReference w:type="default" r:id="rId12"/>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DFDF7" w14:textId="77777777" w:rsidR="0042114F" w:rsidRDefault="0042114F" w:rsidP="00A32B7C">
      <w:r>
        <w:separator/>
      </w:r>
    </w:p>
  </w:endnote>
  <w:endnote w:type="continuationSeparator" w:id="0">
    <w:p w14:paraId="6B03D588" w14:textId="77777777" w:rsidR="0042114F" w:rsidRDefault="0042114F"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790A6" w14:textId="77777777" w:rsidR="00A32B7C" w:rsidRDefault="00A32B7C" w:rsidP="00A32B7C">
    <w:pPr>
      <w:tabs>
        <w:tab w:val="left" w:pos="3261"/>
      </w:tabs>
      <w:rPr>
        <w:noProof/>
        <w:sz w:val="14"/>
        <w:szCs w:val="14"/>
      </w:rPr>
    </w:pPr>
    <w:bookmarkStart w:id="1" w:name="_Hlk517093279"/>
  </w:p>
  <w:p w14:paraId="39F4FC8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553C4BE5" wp14:editId="053869F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540121"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687D6A8" w14:textId="77777777" w:rsidR="00A32B7C" w:rsidRDefault="00A32B7C" w:rsidP="00A32B7C">
    <w:pPr>
      <w:tabs>
        <w:tab w:val="left" w:pos="3261"/>
      </w:tabs>
      <w:rPr>
        <w:noProof/>
        <w:sz w:val="14"/>
        <w:szCs w:val="14"/>
      </w:rPr>
    </w:pPr>
  </w:p>
  <w:bookmarkEnd w:id="1"/>
  <w:p w14:paraId="24428CD3" w14:textId="77777777" w:rsidR="00A32B7C" w:rsidRPr="00F47E64" w:rsidRDefault="00DE1923" w:rsidP="00A32B7C">
    <w:pPr>
      <w:pStyle w:val="Fusszeile"/>
      <w:rPr>
        <w:lang w:val="en-GB"/>
      </w:rPr>
    </w:pPr>
    <w:r w:rsidRPr="00F47E64">
      <w:rPr>
        <w:lang w:val="en-GB"/>
      </w:rPr>
      <w:t>Status</w:t>
    </w:r>
    <w:r w:rsidR="00A32B7C" w:rsidRPr="00F47E64">
      <w:rPr>
        <w:lang w:val="en-GB"/>
      </w:rPr>
      <w:t>: 0</w:t>
    </w:r>
    <w:r w:rsidR="0024178A" w:rsidRPr="00F47E64">
      <w:rPr>
        <w:lang w:val="en-GB"/>
      </w:rPr>
      <w:t>8</w:t>
    </w:r>
    <w:r w:rsidR="00A32B7C" w:rsidRPr="00F47E64">
      <w:rPr>
        <w:lang w:val="en-GB"/>
      </w:rPr>
      <w:t>.0</w:t>
    </w:r>
    <w:r w:rsidR="0024178A" w:rsidRPr="00F47E64">
      <w:rPr>
        <w:lang w:val="en-GB"/>
      </w:rPr>
      <w:t>1</w:t>
    </w:r>
    <w:r w:rsidR="00A32B7C" w:rsidRPr="00F47E64">
      <w:rPr>
        <w:lang w:val="en-GB"/>
      </w:rPr>
      <w:t>.20</w:t>
    </w:r>
    <w:r w:rsidR="0024178A" w:rsidRPr="00F47E64">
      <w:rPr>
        <w:lang w:val="en-GB"/>
      </w:rPr>
      <w:t>20</w:t>
    </w:r>
    <w:r w:rsidR="00A32B7C" w:rsidRPr="00F47E64">
      <w:rPr>
        <w:color w:val="7F7F7F"/>
        <w:lang w:val="en-GB"/>
      </w:rPr>
      <w:tab/>
    </w:r>
    <w:r w:rsidR="00A32B7C" w:rsidRPr="00F47E64">
      <w:rPr>
        <w:lang w:val="en-GB"/>
      </w:rPr>
      <w:t xml:space="preserve"> </w:t>
    </w:r>
    <w:r w:rsidR="00A32B7C" w:rsidRPr="00F47E64">
      <w:rPr>
        <w:color w:val="7F7F7F"/>
        <w:lang w:val="en-GB"/>
      </w:rPr>
      <w:tab/>
    </w:r>
    <w:r w:rsidR="00A32B7C" w:rsidRPr="00F47E64">
      <w:rPr>
        <w:lang w:val="en-GB"/>
      </w:rPr>
      <w:tab/>
    </w:r>
    <w:r w:rsidR="00CA44B8" w:rsidRPr="00F47E64">
      <w:rPr>
        <w:lang w:val="en-GB"/>
      </w:rPr>
      <w:t>Page</w:t>
    </w:r>
    <w:r w:rsidR="00A32B7C" w:rsidRPr="00F47E64">
      <w:rPr>
        <w:lang w:val="en-GB"/>
      </w:rPr>
      <w:t xml:space="preserve"> </w:t>
    </w:r>
    <w:r w:rsidR="00A32B7C" w:rsidRPr="003976F5">
      <w:fldChar w:fldCharType="begin"/>
    </w:r>
    <w:r w:rsidR="00A32B7C" w:rsidRPr="00F47E64">
      <w:rPr>
        <w:lang w:val="en-GB"/>
      </w:rPr>
      <w:instrText xml:space="preserve"> PAGE </w:instrText>
    </w:r>
    <w:r w:rsidR="00A32B7C" w:rsidRPr="003976F5">
      <w:fldChar w:fldCharType="separate"/>
    </w:r>
    <w:r w:rsidR="00A32B7C" w:rsidRPr="00F47E64">
      <w:rPr>
        <w:lang w:val="en-GB"/>
      </w:rPr>
      <w:t>1</w:t>
    </w:r>
    <w:r w:rsidR="00A32B7C" w:rsidRPr="003976F5">
      <w:fldChar w:fldCharType="end"/>
    </w:r>
    <w:r w:rsidR="00A32B7C" w:rsidRPr="00F47E64">
      <w:rPr>
        <w:lang w:val="en-GB"/>
      </w:rPr>
      <w:t xml:space="preserve"> </w:t>
    </w:r>
    <w:r w:rsidR="00CA44B8" w:rsidRPr="00F47E64">
      <w:rPr>
        <w:lang w:val="en-GB"/>
      </w:rPr>
      <w:t>of</w:t>
    </w:r>
    <w:r w:rsidR="00A32B7C" w:rsidRPr="00F47E64">
      <w:rPr>
        <w:lang w:val="en-GB"/>
      </w:rPr>
      <w:t xml:space="preserve"> </w:t>
    </w:r>
    <w:r w:rsidR="00A32B7C" w:rsidRPr="003976F5">
      <w:fldChar w:fldCharType="begin"/>
    </w:r>
    <w:r w:rsidR="00A32B7C" w:rsidRPr="00F47E64">
      <w:rPr>
        <w:lang w:val="en-GB"/>
      </w:rPr>
      <w:instrText xml:space="preserve"> NUMPAGES  </w:instrText>
    </w:r>
    <w:r w:rsidR="00A32B7C" w:rsidRPr="003976F5">
      <w:fldChar w:fldCharType="separate"/>
    </w:r>
    <w:r w:rsidR="00A32B7C" w:rsidRPr="00F47E64">
      <w:rPr>
        <w:lang w:val="en-GB"/>
      </w:rPr>
      <w:t>2</w:t>
    </w:r>
    <w:r w:rsidR="00A32B7C" w:rsidRPr="003976F5">
      <w:fldChar w:fldCharType="end"/>
    </w:r>
  </w:p>
  <w:p w14:paraId="2821516C" w14:textId="77777777" w:rsidR="00A32B7C" w:rsidRPr="00F47E64" w:rsidRDefault="00A32B7C" w:rsidP="00A32B7C">
    <w:pPr>
      <w:tabs>
        <w:tab w:val="left" w:pos="450"/>
        <w:tab w:val="left" w:pos="3261"/>
        <w:tab w:val="left" w:pos="5954"/>
        <w:tab w:val="left" w:pos="8789"/>
      </w:tabs>
      <w:rPr>
        <w:b/>
        <w:noProof/>
        <w:sz w:val="14"/>
        <w:szCs w:val="14"/>
        <w:lang w:val="en-GB"/>
      </w:rPr>
    </w:pPr>
  </w:p>
  <w:p w14:paraId="213D5CC0" w14:textId="77777777" w:rsidR="00A32B7C" w:rsidRPr="00F47E64" w:rsidRDefault="00A32B7C" w:rsidP="00A32B7C">
    <w:pPr>
      <w:tabs>
        <w:tab w:val="left" w:pos="450"/>
        <w:tab w:val="left" w:pos="3261"/>
        <w:tab w:val="left" w:pos="5954"/>
        <w:tab w:val="left" w:pos="8789"/>
      </w:tabs>
      <w:rPr>
        <w:noProof/>
        <w:color w:val="7F7F7F"/>
        <w:sz w:val="14"/>
        <w:szCs w:val="14"/>
        <w:lang w:val="en-GB"/>
      </w:rPr>
    </w:pPr>
    <w:r w:rsidRPr="00F47E64">
      <w:rPr>
        <w:b/>
        <w:noProof/>
        <w:sz w:val="14"/>
        <w:szCs w:val="14"/>
        <w:lang w:val="en-GB"/>
      </w:rPr>
      <w:t>ViscoTec</w:t>
    </w:r>
    <w:r w:rsidRPr="00F47E64">
      <w:rPr>
        <w:noProof/>
        <w:sz w:val="14"/>
        <w:szCs w:val="14"/>
        <w:lang w:val="en-GB"/>
      </w:rPr>
      <w:tab/>
      <w:t>Amperstraße 13</w:t>
    </w:r>
    <w:r w:rsidRPr="00F47E64">
      <w:rPr>
        <w:noProof/>
        <w:color w:val="7F7F7F"/>
        <w:sz w:val="14"/>
        <w:szCs w:val="14"/>
        <w:lang w:val="en-GB"/>
      </w:rPr>
      <w:tab/>
    </w:r>
    <w:r w:rsidRPr="00F47E64">
      <w:rPr>
        <w:b/>
        <w:noProof/>
        <w:color w:val="00B0F0"/>
        <w:sz w:val="14"/>
        <w:szCs w:val="14"/>
        <w:lang w:val="en-GB"/>
      </w:rPr>
      <w:t>T</w:t>
    </w:r>
    <w:r w:rsidRPr="00F47E64">
      <w:rPr>
        <w:noProof/>
        <w:color w:val="7F7F7F"/>
        <w:sz w:val="14"/>
        <w:szCs w:val="14"/>
        <w:lang w:val="en-GB"/>
      </w:rPr>
      <w:t xml:space="preserve">  </w:t>
    </w:r>
    <w:r w:rsidRPr="00F47E64">
      <w:rPr>
        <w:noProof/>
        <w:sz w:val="14"/>
        <w:szCs w:val="14"/>
        <w:lang w:val="en-GB"/>
      </w:rPr>
      <w:t>+49 8631 9274-0</w:t>
    </w:r>
    <w:r w:rsidRPr="00F47E64">
      <w:rPr>
        <w:noProof/>
        <w:color w:val="7F7F7F"/>
        <w:sz w:val="14"/>
        <w:szCs w:val="14"/>
        <w:lang w:val="en-GB"/>
      </w:rPr>
      <w:tab/>
    </w:r>
    <w:r w:rsidRPr="00F47E64">
      <w:rPr>
        <w:b/>
        <w:noProof/>
        <w:color w:val="00B0F0"/>
        <w:sz w:val="14"/>
        <w:szCs w:val="14"/>
        <w:lang w:val="en-GB"/>
      </w:rPr>
      <w:t>W</w:t>
    </w:r>
    <w:r w:rsidRPr="00F47E64">
      <w:rPr>
        <w:noProof/>
        <w:color w:val="7F7F7F"/>
        <w:sz w:val="14"/>
        <w:szCs w:val="14"/>
        <w:lang w:val="en-GB"/>
      </w:rPr>
      <w:t xml:space="preserve"> </w:t>
    </w:r>
    <w:r w:rsidRPr="00F47E64">
      <w:rPr>
        <w:noProof/>
        <w:color w:val="7F7F7F"/>
        <w:sz w:val="20"/>
        <w:szCs w:val="20"/>
        <w:lang w:val="en-GB"/>
      </w:rPr>
      <w:t xml:space="preserve"> </w:t>
    </w:r>
    <w:r w:rsidRPr="00F47E64">
      <w:rPr>
        <w:noProof/>
        <w:sz w:val="14"/>
        <w:szCs w:val="14"/>
        <w:lang w:val="en-GB"/>
      </w:rPr>
      <w:t xml:space="preserve">www.viscotec.de </w:t>
    </w:r>
  </w:p>
  <w:p w14:paraId="4A1BF449"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D737D2" w14:textId="77777777" w:rsidR="0042114F" w:rsidRDefault="0042114F" w:rsidP="00A32B7C">
      <w:r>
        <w:separator/>
      </w:r>
    </w:p>
  </w:footnote>
  <w:footnote w:type="continuationSeparator" w:id="0">
    <w:p w14:paraId="1C68571A" w14:textId="77777777" w:rsidR="0042114F" w:rsidRDefault="0042114F"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4BC61"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5186FE7D" wp14:editId="42DDE23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549B91EE" w14:textId="77777777" w:rsidR="006B78C4" w:rsidRDefault="006B78C4" w:rsidP="00A32B7C">
    <w:pPr>
      <w:pStyle w:val="Kopfzeile"/>
    </w:pPr>
  </w:p>
  <w:p w14:paraId="6F3A363E" w14:textId="77777777" w:rsidR="006B78C4" w:rsidRDefault="006B78C4" w:rsidP="00A32B7C">
    <w:pPr>
      <w:pStyle w:val="Kopfzeile"/>
    </w:pPr>
  </w:p>
  <w:p w14:paraId="273FE01C" w14:textId="77777777" w:rsidR="006B78C4" w:rsidRDefault="006B78C4" w:rsidP="00A32B7C">
    <w:pPr>
      <w:pStyle w:val="Kopfzeile"/>
    </w:pPr>
  </w:p>
  <w:p w14:paraId="5885681D" w14:textId="77777777" w:rsidR="006B78C4" w:rsidRDefault="006B78C4" w:rsidP="00A32B7C">
    <w:pPr>
      <w:pStyle w:val="Kopfzeile"/>
    </w:pPr>
  </w:p>
  <w:p w14:paraId="10F8077D" w14:textId="77777777" w:rsidR="006B78C4" w:rsidRDefault="00DA128F" w:rsidP="00DA128F">
    <w:pPr>
      <w:pStyle w:val="KopfzeileHeadline"/>
    </w:pPr>
    <w:r w:rsidRPr="00BD6574">
      <w:t>PRES</w:t>
    </w:r>
    <w:r>
      <w:t>S RELEASE</w:t>
    </w:r>
  </w:p>
  <w:p w14:paraId="16440FEB" w14:textId="77777777" w:rsidR="006B78C4" w:rsidRDefault="006B78C4" w:rsidP="00A32B7C">
    <w:pPr>
      <w:pStyle w:val="Kopfzeile"/>
    </w:pPr>
  </w:p>
  <w:p w14:paraId="4C23651D" w14:textId="645B3403" w:rsidR="006B78C4" w:rsidRDefault="006B78C4" w:rsidP="00A32B7C">
    <w:pPr>
      <w:pStyle w:val="Kopfzeile"/>
    </w:pPr>
  </w:p>
  <w:p w14:paraId="19E73654" w14:textId="77777777" w:rsidR="00A56EF2" w:rsidRDefault="00A56EF2"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E5DA0"/>
    <w:multiLevelType w:val="hybridMultilevel"/>
    <w:tmpl w:val="565C775E"/>
    <w:lvl w:ilvl="0" w:tplc="CF00CD2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77DC7F1A"/>
    <w:multiLevelType w:val="hybridMultilevel"/>
    <w:tmpl w:val="2C84367E"/>
    <w:lvl w:ilvl="0" w:tplc="AE44D85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37C"/>
    <w:rsid w:val="0007129F"/>
    <w:rsid w:val="000B283B"/>
    <w:rsid w:val="000B44E6"/>
    <w:rsid w:val="000D7869"/>
    <w:rsid w:val="000F3990"/>
    <w:rsid w:val="00100CE6"/>
    <w:rsid w:val="0019178B"/>
    <w:rsid w:val="00196B6F"/>
    <w:rsid w:val="00207D48"/>
    <w:rsid w:val="00212DF7"/>
    <w:rsid w:val="00213097"/>
    <w:rsid w:val="00216DE4"/>
    <w:rsid w:val="00217A6A"/>
    <w:rsid w:val="0024178A"/>
    <w:rsid w:val="002974AD"/>
    <w:rsid w:val="002B4444"/>
    <w:rsid w:val="002C1B58"/>
    <w:rsid w:val="002F00CC"/>
    <w:rsid w:val="00304C95"/>
    <w:rsid w:val="003074B0"/>
    <w:rsid w:val="00310BD9"/>
    <w:rsid w:val="00346F0D"/>
    <w:rsid w:val="003857C3"/>
    <w:rsid w:val="003B111D"/>
    <w:rsid w:val="003C5053"/>
    <w:rsid w:val="003D22D6"/>
    <w:rsid w:val="003D5DD5"/>
    <w:rsid w:val="00406BB4"/>
    <w:rsid w:val="0042114F"/>
    <w:rsid w:val="004E6FF0"/>
    <w:rsid w:val="004F0705"/>
    <w:rsid w:val="00502B11"/>
    <w:rsid w:val="0050565F"/>
    <w:rsid w:val="00517A36"/>
    <w:rsid w:val="00525CD7"/>
    <w:rsid w:val="00553042"/>
    <w:rsid w:val="0056210E"/>
    <w:rsid w:val="00592CA1"/>
    <w:rsid w:val="00610C87"/>
    <w:rsid w:val="006219C0"/>
    <w:rsid w:val="00670B7B"/>
    <w:rsid w:val="006B78C4"/>
    <w:rsid w:val="006C0AC6"/>
    <w:rsid w:val="006E2BC6"/>
    <w:rsid w:val="006E656E"/>
    <w:rsid w:val="0075437C"/>
    <w:rsid w:val="00756476"/>
    <w:rsid w:val="00791C50"/>
    <w:rsid w:val="007C6E88"/>
    <w:rsid w:val="007E6CA0"/>
    <w:rsid w:val="00853652"/>
    <w:rsid w:val="008A0CBF"/>
    <w:rsid w:val="008F388C"/>
    <w:rsid w:val="00972B7F"/>
    <w:rsid w:val="00986F58"/>
    <w:rsid w:val="009C4840"/>
    <w:rsid w:val="009D0A72"/>
    <w:rsid w:val="009E289E"/>
    <w:rsid w:val="00A02963"/>
    <w:rsid w:val="00A23D8E"/>
    <w:rsid w:val="00A32B7C"/>
    <w:rsid w:val="00A568ED"/>
    <w:rsid w:val="00A56EF2"/>
    <w:rsid w:val="00A74026"/>
    <w:rsid w:val="00A9027D"/>
    <w:rsid w:val="00AB3895"/>
    <w:rsid w:val="00AC080F"/>
    <w:rsid w:val="00AE544C"/>
    <w:rsid w:val="00B07A84"/>
    <w:rsid w:val="00B12037"/>
    <w:rsid w:val="00B1362C"/>
    <w:rsid w:val="00B24A85"/>
    <w:rsid w:val="00B27160"/>
    <w:rsid w:val="00B60D2C"/>
    <w:rsid w:val="00B86D8D"/>
    <w:rsid w:val="00BC22BA"/>
    <w:rsid w:val="00BD097C"/>
    <w:rsid w:val="00C0125E"/>
    <w:rsid w:val="00C135DE"/>
    <w:rsid w:val="00C75A4E"/>
    <w:rsid w:val="00C83E1A"/>
    <w:rsid w:val="00C93794"/>
    <w:rsid w:val="00CA44B8"/>
    <w:rsid w:val="00CD306B"/>
    <w:rsid w:val="00CF08AA"/>
    <w:rsid w:val="00D130D4"/>
    <w:rsid w:val="00D520FF"/>
    <w:rsid w:val="00D64095"/>
    <w:rsid w:val="00D844A5"/>
    <w:rsid w:val="00D87711"/>
    <w:rsid w:val="00D93CA3"/>
    <w:rsid w:val="00DA128F"/>
    <w:rsid w:val="00DE1923"/>
    <w:rsid w:val="00DE41D5"/>
    <w:rsid w:val="00DF6847"/>
    <w:rsid w:val="00DF7061"/>
    <w:rsid w:val="00E51612"/>
    <w:rsid w:val="00E7792E"/>
    <w:rsid w:val="00EB69BA"/>
    <w:rsid w:val="00EC0948"/>
    <w:rsid w:val="00ED36C9"/>
    <w:rsid w:val="00ED3E57"/>
    <w:rsid w:val="00F3451B"/>
    <w:rsid w:val="00F47E64"/>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194B43"/>
  <w15:docId w15:val="{9BD7E720-CAA1-4BC8-B544-2CFA7327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character" w:styleId="NichtaufgelsteErwhnung">
    <w:name w:val="Unresolved Mention"/>
    <w:basedOn w:val="Absatz-Standardschriftart"/>
    <w:uiPriority w:val="99"/>
    <w:semiHidden/>
    <w:unhideWhenUsed/>
    <w:rsid w:val="00D93CA3"/>
    <w:rPr>
      <w:color w:val="605E5C"/>
      <w:shd w:val="clear" w:color="auto" w:fill="E1DFDD"/>
    </w:rPr>
  </w:style>
  <w:style w:type="character" w:styleId="Fett">
    <w:name w:val="Strong"/>
    <w:basedOn w:val="Absatz-Standardschriftart"/>
    <w:uiPriority w:val="22"/>
    <w:qFormat/>
    <w:rsid w:val="00212DF7"/>
    <w:rPr>
      <w:b/>
      <w:bCs/>
    </w:rPr>
  </w:style>
  <w:style w:type="paragraph" w:styleId="Listenabsatz">
    <w:name w:val="List Paragraph"/>
    <w:basedOn w:val="Standard"/>
    <w:uiPriority w:val="34"/>
    <w:qFormat/>
    <w:rsid w:val="00212DF7"/>
    <w:pPr>
      <w:spacing w:after="160" w:line="256" w:lineRule="auto"/>
      <w:ind w:left="720"/>
      <w:contextualSpacing/>
      <w:jc w:val="left"/>
    </w:pPr>
    <w:rPr>
      <w:rFonts w:asciiTheme="minorHAnsi" w:hAnsiTheme="minorHAnsi" w:cstheme="minorBid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77564">
      <w:bodyDiv w:val="1"/>
      <w:marLeft w:val="0"/>
      <w:marRight w:val="0"/>
      <w:marTop w:val="0"/>
      <w:marBottom w:val="0"/>
      <w:divBdr>
        <w:top w:val="none" w:sz="0" w:space="0" w:color="auto"/>
        <w:left w:val="none" w:sz="0" w:space="0" w:color="auto"/>
        <w:bottom w:val="none" w:sz="0" w:space="0" w:color="auto"/>
        <w:right w:val="none" w:sz="0" w:space="0" w:color="auto"/>
      </w:divBdr>
    </w:div>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547651009">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23879301">
      <w:bodyDiv w:val="1"/>
      <w:marLeft w:val="0"/>
      <w:marRight w:val="0"/>
      <w:marTop w:val="0"/>
      <w:marBottom w:val="0"/>
      <w:divBdr>
        <w:top w:val="none" w:sz="0" w:space="0" w:color="auto"/>
        <w:left w:val="none" w:sz="0" w:space="0" w:color="auto"/>
        <w:bottom w:val="none" w:sz="0" w:space="0" w:color="auto"/>
        <w:right w:val="none" w:sz="0" w:space="0" w:color="auto"/>
      </w:divBdr>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09791716">
      <w:bodyDiv w:val="1"/>
      <w:marLeft w:val="0"/>
      <w:marRight w:val="0"/>
      <w:marTop w:val="0"/>
      <w:marBottom w:val="0"/>
      <w:divBdr>
        <w:top w:val="none" w:sz="0" w:space="0" w:color="auto"/>
        <w:left w:val="none" w:sz="0" w:space="0" w:color="auto"/>
        <w:bottom w:val="none" w:sz="0" w:space="0" w:color="auto"/>
        <w:right w:val="none" w:sz="0" w:space="0" w:color="auto"/>
      </w:divBdr>
    </w:div>
    <w:div w:id="1388605001">
      <w:bodyDiv w:val="1"/>
      <w:marLeft w:val="0"/>
      <w:marRight w:val="0"/>
      <w:marTop w:val="0"/>
      <w:marBottom w:val="0"/>
      <w:divBdr>
        <w:top w:val="none" w:sz="0" w:space="0" w:color="auto"/>
        <w:left w:val="none" w:sz="0" w:space="0" w:color="auto"/>
        <w:bottom w:val="none" w:sz="0" w:space="0" w:color="auto"/>
        <w:right w:val="none" w:sz="0" w:space="0" w:color="auto"/>
      </w:divBdr>
    </w:div>
    <w:div w:id="1943033312">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7939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C5860-1404-4D4B-81D7-47A0DCA21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1037</Words>
  <Characters>6538</Characters>
  <Application>Microsoft Office Word</Application>
  <DocSecurity>0</DocSecurity>
  <Lines>54</Lines>
  <Paragraphs>15</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Bacher, Manfred</cp:lastModifiedBy>
  <cp:revision>3</cp:revision>
  <dcterms:created xsi:type="dcterms:W3CDTF">2020-09-10T07:33:00Z</dcterms:created>
  <dcterms:modified xsi:type="dcterms:W3CDTF">2020-09-10T08:09:00Z</dcterms:modified>
</cp:coreProperties>
</file>