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621D5" w14:textId="3D1EB3C6" w:rsidR="006349A6" w:rsidRPr="00D6255B" w:rsidRDefault="003B326E" w:rsidP="006349A6">
      <w:pPr>
        <w:pStyle w:val="berschrift2"/>
        <w:rPr>
          <w:lang w:val="en-GB"/>
        </w:rPr>
      </w:pPr>
      <w:bookmarkStart w:id="0" w:name="_Hlk517093228"/>
      <w:r>
        <w:rPr>
          <w:lang w:val="en-GB"/>
        </w:rPr>
        <w:t>F</w:t>
      </w:r>
      <w:r w:rsidR="00FD2B86">
        <w:rPr>
          <w:lang w:val="en-GB"/>
        </w:rPr>
        <w:t>actor</w:t>
      </w:r>
      <w:r w:rsidR="00840986">
        <w:rPr>
          <w:lang w:val="en-GB"/>
        </w:rPr>
        <w:t>s</w:t>
      </w:r>
      <w:r w:rsidR="00FD2B86">
        <w:rPr>
          <w:lang w:val="en-GB"/>
        </w:rPr>
        <w:t xml:space="preserve"> for </w:t>
      </w:r>
      <w:r>
        <w:rPr>
          <w:lang w:val="en-GB"/>
        </w:rPr>
        <w:t>S</w:t>
      </w:r>
      <w:r w:rsidR="00FD2B86">
        <w:rPr>
          <w:lang w:val="en-GB"/>
        </w:rPr>
        <w:t xml:space="preserve">uccess </w:t>
      </w:r>
      <w:r w:rsidR="00D6255B" w:rsidRPr="00D6255B">
        <w:rPr>
          <w:lang w:val="en-GB"/>
        </w:rPr>
        <w:t xml:space="preserve">in </w:t>
      </w:r>
      <w:r>
        <w:rPr>
          <w:lang w:val="en-GB"/>
        </w:rPr>
        <w:t>D</w:t>
      </w:r>
      <w:r w:rsidR="00D6255B">
        <w:rPr>
          <w:lang w:val="en-GB"/>
        </w:rPr>
        <w:t>ispen</w:t>
      </w:r>
      <w:r w:rsidR="00D6255B" w:rsidRPr="00D6255B">
        <w:rPr>
          <w:lang w:val="en-GB"/>
        </w:rPr>
        <w:t xml:space="preserve">sing 2-component </w:t>
      </w:r>
      <w:r>
        <w:rPr>
          <w:lang w:val="en-GB"/>
        </w:rPr>
        <w:t>M</w:t>
      </w:r>
      <w:r w:rsidR="00D6255B" w:rsidRPr="00D6255B">
        <w:rPr>
          <w:lang w:val="en-GB"/>
        </w:rPr>
        <w:t>aterials</w:t>
      </w:r>
    </w:p>
    <w:p w14:paraId="1BDCEC55" w14:textId="77777777" w:rsidR="006349A6" w:rsidRPr="00D6255B" w:rsidRDefault="006349A6" w:rsidP="006349A6">
      <w:pPr>
        <w:rPr>
          <w:lang w:val="en-GB"/>
        </w:rPr>
      </w:pPr>
    </w:p>
    <w:p w14:paraId="0563276A" w14:textId="7ED22B29" w:rsidR="006349A6" w:rsidRPr="00D6255B" w:rsidRDefault="006349A6" w:rsidP="006349A6">
      <w:pPr>
        <w:pStyle w:val="Untertitel"/>
        <w:rPr>
          <w:lang w:val="en-GB"/>
        </w:rPr>
      </w:pPr>
      <w:r w:rsidRPr="00D6255B">
        <w:rPr>
          <w:lang w:val="en-GB"/>
        </w:rPr>
        <w:t>p</w:t>
      </w:r>
      <w:r w:rsidR="00D6255B" w:rsidRPr="00D6255B">
        <w:rPr>
          <w:lang w:val="en-GB"/>
        </w:rPr>
        <w:t xml:space="preserve">reeflow eco-DUO </w:t>
      </w:r>
      <w:r w:rsidR="003F2D3B">
        <w:rPr>
          <w:lang w:val="en-GB"/>
        </w:rPr>
        <w:t>d</w:t>
      </w:r>
      <w:r w:rsidR="00D6255B" w:rsidRPr="00D6255B">
        <w:rPr>
          <w:lang w:val="en-GB"/>
        </w:rPr>
        <w:t xml:space="preserve">ispensers have been committed to small quantity dispensing </w:t>
      </w:r>
      <w:r w:rsidR="00840986">
        <w:rPr>
          <w:lang w:val="en-GB"/>
        </w:rPr>
        <w:t xml:space="preserve">of fluids and pastes </w:t>
      </w:r>
      <w:r w:rsidR="00D6255B" w:rsidRPr="00D6255B">
        <w:rPr>
          <w:lang w:val="en-GB"/>
        </w:rPr>
        <w:t>for the last 10 years</w:t>
      </w:r>
    </w:p>
    <w:p w14:paraId="47EBB944" w14:textId="77777777" w:rsidR="006349A6" w:rsidRPr="00D6255B" w:rsidRDefault="006349A6" w:rsidP="006349A6">
      <w:pPr>
        <w:rPr>
          <w:lang w:val="en-GB"/>
        </w:rPr>
      </w:pPr>
    </w:p>
    <w:p w14:paraId="392F428A" w14:textId="77777777" w:rsidR="006349A6" w:rsidRPr="00D6255B" w:rsidRDefault="006349A6" w:rsidP="006349A6">
      <w:pPr>
        <w:rPr>
          <w:lang w:val="en-GB"/>
        </w:rPr>
      </w:pPr>
    </w:p>
    <w:p w14:paraId="788C9BA2" w14:textId="4D2E62AE" w:rsidR="006349A6" w:rsidRPr="00D6255B" w:rsidRDefault="00D6255B" w:rsidP="006349A6">
      <w:pPr>
        <w:spacing w:line="360" w:lineRule="auto"/>
        <w:ind w:right="1560"/>
        <w:rPr>
          <w:lang w:val="en-GB"/>
        </w:rPr>
      </w:pPr>
      <w:r w:rsidRPr="00D6255B">
        <w:rPr>
          <w:lang w:val="en-GB"/>
        </w:rPr>
        <w:t xml:space="preserve">In order to meet the requirements of the </w:t>
      </w:r>
      <w:r>
        <w:rPr>
          <w:lang w:val="en-GB"/>
        </w:rPr>
        <w:t>dispensing</w:t>
      </w:r>
      <w:r w:rsidRPr="00D6255B">
        <w:rPr>
          <w:lang w:val="en-GB"/>
        </w:rPr>
        <w:t xml:space="preserve"> market, the first eco-DUO dispenser for the application of 2-component materials was developed in 2010</w:t>
      </w:r>
      <w:r w:rsidR="00FD2B86">
        <w:rPr>
          <w:lang w:val="en-GB"/>
        </w:rPr>
        <w:t xml:space="preserve">. It was based on the </w:t>
      </w:r>
      <w:r w:rsidRPr="00D6255B">
        <w:rPr>
          <w:lang w:val="en-GB"/>
        </w:rPr>
        <w:t>preeflow eco-PEN dispensers. Th</w:t>
      </w:r>
      <w:r w:rsidR="00FD2B86">
        <w:rPr>
          <w:lang w:val="en-GB"/>
        </w:rPr>
        <w:t>ese dispensers ensured</w:t>
      </w:r>
      <w:r w:rsidRPr="00D6255B">
        <w:rPr>
          <w:lang w:val="en-GB"/>
        </w:rPr>
        <w:t xml:space="preserve"> a</w:t>
      </w:r>
      <w:r w:rsidR="003F2D3B">
        <w:rPr>
          <w:lang w:val="en-GB"/>
        </w:rPr>
        <w:t>n</w:t>
      </w:r>
      <w:r w:rsidRPr="00D6255B">
        <w:rPr>
          <w:lang w:val="en-GB"/>
        </w:rPr>
        <w:t xml:space="preserve"> automated </w:t>
      </w:r>
      <w:r>
        <w:rPr>
          <w:lang w:val="en-GB"/>
        </w:rPr>
        <w:t>dispensing</w:t>
      </w:r>
      <w:r w:rsidR="00FD2B86">
        <w:rPr>
          <w:lang w:val="en-GB"/>
        </w:rPr>
        <w:t xml:space="preserve">, </w:t>
      </w:r>
      <w:r w:rsidR="003F2D3B">
        <w:rPr>
          <w:lang w:val="en-GB"/>
        </w:rPr>
        <w:t xml:space="preserve">of precise and small quantities, </w:t>
      </w:r>
      <w:r w:rsidR="00FD2B86">
        <w:rPr>
          <w:lang w:val="en-GB"/>
        </w:rPr>
        <w:t>making it possible to dispense many ma</w:t>
      </w:r>
      <w:r w:rsidRPr="00D6255B">
        <w:rPr>
          <w:lang w:val="en-GB"/>
        </w:rPr>
        <w:t>terials available on the marke</w:t>
      </w:r>
      <w:r w:rsidR="00FD2B86">
        <w:rPr>
          <w:lang w:val="en-GB"/>
        </w:rPr>
        <w:t>t</w:t>
      </w:r>
      <w:r w:rsidRPr="00D6255B">
        <w:rPr>
          <w:lang w:val="en-GB"/>
        </w:rPr>
        <w:t xml:space="preserve">. </w:t>
      </w:r>
      <w:r w:rsidR="00FD2B86">
        <w:rPr>
          <w:lang w:val="en-GB"/>
        </w:rPr>
        <w:t>This</w:t>
      </w:r>
      <w:r w:rsidR="003F2D3B">
        <w:rPr>
          <w:lang w:val="en-GB"/>
        </w:rPr>
        <w:t xml:space="preserve"> has</w:t>
      </w:r>
      <w:r w:rsidR="00FD2B86">
        <w:rPr>
          <w:lang w:val="en-GB"/>
        </w:rPr>
        <w:t xml:space="preserve"> provided the o</w:t>
      </w:r>
      <w:r w:rsidRPr="00D6255B">
        <w:rPr>
          <w:lang w:val="en-GB"/>
        </w:rPr>
        <w:t xml:space="preserve">ptimal solution for fluids and pastes </w:t>
      </w:r>
      <w:r w:rsidR="00840986">
        <w:rPr>
          <w:lang w:val="en-GB"/>
        </w:rPr>
        <w:t xml:space="preserve">often </w:t>
      </w:r>
      <w:r w:rsidRPr="00D6255B">
        <w:rPr>
          <w:lang w:val="en-GB"/>
        </w:rPr>
        <w:t>consisting of two very different components.</w:t>
      </w:r>
    </w:p>
    <w:p w14:paraId="2CE476A8" w14:textId="77777777" w:rsidR="00D6255B" w:rsidRPr="00D6255B" w:rsidRDefault="00D6255B" w:rsidP="006349A6">
      <w:pPr>
        <w:spacing w:line="360" w:lineRule="auto"/>
        <w:ind w:right="1560"/>
        <w:rPr>
          <w:lang w:val="en-GB"/>
        </w:rPr>
      </w:pPr>
    </w:p>
    <w:p w14:paraId="6D9F7248" w14:textId="2A3378A4" w:rsidR="00D6255B" w:rsidRPr="00D6255B" w:rsidRDefault="00840986" w:rsidP="00D6255B">
      <w:pPr>
        <w:spacing w:line="360" w:lineRule="auto"/>
        <w:ind w:right="1560"/>
        <w:rPr>
          <w:lang w:val="en-GB"/>
        </w:rPr>
      </w:pPr>
      <w:r>
        <w:rPr>
          <w:lang w:val="en-GB"/>
        </w:rPr>
        <w:t>T</w:t>
      </w:r>
      <w:r w:rsidR="00D6255B" w:rsidRPr="00D6255B">
        <w:rPr>
          <w:lang w:val="en-GB"/>
        </w:rPr>
        <w:t xml:space="preserve">he smallest possible installation space </w:t>
      </w:r>
      <w:r w:rsidR="003F2D3B">
        <w:rPr>
          <w:lang w:val="en-GB"/>
        </w:rPr>
        <w:t xml:space="preserve">in order to be integrated into fully automated </w:t>
      </w:r>
      <w:r w:rsidR="00D6255B" w:rsidRPr="00D6255B">
        <w:rPr>
          <w:lang w:val="en-GB"/>
        </w:rPr>
        <w:t>production lines,</w:t>
      </w:r>
      <w:r w:rsidR="001C7230">
        <w:rPr>
          <w:lang w:val="en-GB"/>
        </w:rPr>
        <w:t xml:space="preserve"> </w:t>
      </w:r>
      <w:r>
        <w:rPr>
          <w:lang w:val="en-GB"/>
        </w:rPr>
        <w:t xml:space="preserve">and </w:t>
      </w:r>
      <w:r w:rsidRPr="00D6255B">
        <w:rPr>
          <w:lang w:val="en-GB"/>
        </w:rPr>
        <w:t>the high-precision application of very small quantities</w:t>
      </w:r>
      <w:r>
        <w:rPr>
          <w:lang w:val="en-GB"/>
        </w:rPr>
        <w:t xml:space="preserve"> are </w:t>
      </w:r>
      <w:r w:rsidR="00D6255B" w:rsidRPr="00D6255B">
        <w:rPr>
          <w:lang w:val="en-GB"/>
        </w:rPr>
        <w:t>great challenge</w:t>
      </w:r>
      <w:r>
        <w:rPr>
          <w:lang w:val="en-GB"/>
        </w:rPr>
        <w:t>s</w:t>
      </w:r>
      <w:r w:rsidR="00D6255B" w:rsidRPr="00D6255B">
        <w:rPr>
          <w:lang w:val="en-GB"/>
        </w:rPr>
        <w:t xml:space="preserve"> </w:t>
      </w:r>
      <w:r>
        <w:rPr>
          <w:lang w:val="en-GB"/>
        </w:rPr>
        <w:t>here</w:t>
      </w:r>
      <w:r w:rsidR="00D6255B" w:rsidRPr="00D6255B">
        <w:rPr>
          <w:lang w:val="en-GB"/>
        </w:rPr>
        <w:t>. In order to guarantee repeat accuracy</w:t>
      </w:r>
      <w:r w:rsidR="001C7230">
        <w:rPr>
          <w:lang w:val="en-GB"/>
        </w:rPr>
        <w:t>,</w:t>
      </w:r>
      <w:r w:rsidR="00D6255B" w:rsidRPr="00D6255B">
        <w:rPr>
          <w:lang w:val="en-GB"/>
        </w:rPr>
        <w:t xml:space="preserve"> even with </w:t>
      </w:r>
      <w:r w:rsidR="00D6255B">
        <w:rPr>
          <w:lang w:val="en-GB"/>
        </w:rPr>
        <w:t>dispensing</w:t>
      </w:r>
      <w:r w:rsidR="00D6255B" w:rsidRPr="00D6255B">
        <w:rPr>
          <w:lang w:val="en-GB"/>
        </w:rPr>
        <w:t xml:space="preserve"> quantities of only a few µl,</w:t>
      </w:r>
      <w:r w:rsidR="003F2D3B">
        <w:rPr>
          <w:lang w:val="en-GB"/>
        </w:rPr>
        <w:t xml:space="preserve"> the volume in the channels</w:t>
      </w:r>
      <w:r w:rsidR="00D6255B" w:rsidRPr="00D6255B">
        <w:rPr>
          <w:lang w:val="en-GB"/>
        </w:rPr>
        <w:t xml:space="preserve"> up to the </w:t>
      </w:r>
      <w:r w:rsidR="00D6255B">
        <w:rPr>
          <w:lang w:val="en-GB"/>
        </w:rPr>
        <w:t>dispensing</w:t>
      </w:r>
      <w:r w:rsidR="00D6255B" w:rsidRPr="00D6255B">
        <w:rPr>
          <w:lang w:val="en-GB"/>
        </w:rPr>
        <w:t xml:space="preserve"> needle must be kept as low as possible. The paths from material inlet to mixing channel </w:t>
      </w:r>
      <w:r w:rsidR="00102DAD">
        <w:rPr>
          <w:lang w:val="en-GB"/>
        </w:rPr>
        <w:t xml:space="preserve">in the preeflow dispensers optimally designed in terms of flow. </w:t>
      </w:r>
      <w:r w:rsidR="00D6255B" w:rsidRPr="00D6255B">
        <w:rPr>
          <w:lang w:val="en-GB"/>
        </w:rPr>
        <w:t xml:space="preserve">Since different viscosities of the two materials to be </w:t>
      </w:r>
      <w:r w:rsidR="00102DAD">
        <w:rPr>
          <w:lang w:val="en-GB"/>
        </w:rPr>
        <w:t>mixed</w:t>
      </w:r>
      <w:r w:rsidR="00D6255B" w:rsidRPr="00D6255B">
        <w:rPr>
          <w:lang w:val="en-GB"/>
        </w:rPr>
        <w:t xml:space="preserve"> lead to a different pressure in the dispenser, </w:t>
      </w:r>
      <w:r w:rsidR="00CB3937" w:rsidRPr="00CB3937">
        <w:rPr>
          <w:lang w:val="en-GB"/>
        </w:rPr>
        <w:t>the filling level of the individual chambers also changes.</w:t>
      </w:r>
      <w:r w:rsidR="003F2D3B">
        <w:rPr>
          <w:lang w:val="en-GB"/>
        </w:rPr>
        <w:t xml:space="preserve"> With a smaller volume in the channels and less dead space in the dispenser, there is less possibility for the dispensing material to expand again. And less dead space also means the same or a similar pressure in each individual dispenser.</w:t>
      </w:r>
    </w:p>
    <w:p w14:paraId="27863300" w14:textId="77777777" w:rsidR="006349A6" w:rsidRPr="00D6255B" w:rsidRDefault="006349A6" w:rsidP="006349A6">
      <w:pPr>
        <w:spacing w:line="360" w:lineRule="auto"/>
        <w:ind w:right="1560"/>
        <w:rPr>
          <w:lang w:val="en-GB"/>
        </w:rPr>
      </w:pPr>
    </w:p>
    <w:p w14:paraId="7D35EAC1" w14:textId="782BD6B8" w:rsidR="006349A6" w:rsidRPr="00D6255B" w:rsidRDefault="00D6255B" w:rsidP="006349A6">
      <w:pPr>
        <w:spacing w:line="360" w:lineRule="auto"/>
        <w:ind w:right="1560"/>
        <w:rPr>
          <w:lang w:val="en-GB"/>
        </w:rPr>
      </w:pPr>
      <w:r w:rsidRPr="00D6255B">
        <w:rPr>
          <w:lang w:val="en-GB"/>
        </w:rPr>
        <w:t>Both</w:t>
      </w:r>
      <w:r w:rsidR="00DD3DD3">
        <w:rPr>
          <w:lang w:val="en-GB"/>
        </w:rPr>
        <w:t>,</w:t>
      </w:r>
      <w:r w:rsidRPr="00D6255B">
        <w:rPr>
          <w:lang w:val="en-GB"/>
        </w:rPr>
        <w:t xml:space="preserve"> flow characteristics and dead spaces (dead space = </w:t>
      </w:r>
      <w:r w:rsidR="003F2D3B">
        <w:rPr>
          <w:lang w:val="en-GB"/>
        </w:rPr>
        <w:t>volume in the channels</w:t>
      </w:r>
      <w:r w:rsidRPr="00D6255B">
        <w:rPr>
          <w:lang w:val="en-GB"/>
        </w:rPr>
        <w:t xml:space="preserve"> up to the needle)</w:t>
      </w:r>
      <w:r w:rsidR="00DD3DD3">
        <w:rPr>
          <w:lang w:val="en-GB"/>
        </w:rPr>
        <w:t>,</w:t>
      </w:r>
      <w:r w:rsidRPr="00D6255B">
        <w:rPr>
          <w:lang w:val="en-GB"/>
        </w:rPr>
        <w:t xml:space="preserve"> influence the accuracy of the mixture of </w:t>
      </w:r>
      <w:r w:rsidR="001C7230">
        <w:rPr>
          <w:lang w:val="en-GB"/>
        </w:rPr>
        <w:t xml:space="preserve">the </w:t>
      </w:r>
      <w:r w:rsidRPr="00D6255B">
        <w:rPr>
          <w:lang w:val="en-GB"/>
        </w:rPr>
        <w:t xml:space="preserve">two components. Exact mixing is an absolute prerequisite for particularly small </w:t>
      </w:r>
      <w:r>
        <w:rPr>
          <w:lang w:val="en-GB"/>
        </w:rPr>
        <w:t>dispensing</w:t>
      </w:r>
      <w:r w:rsidRPr="00D6255B">
        <w:rPr>
          <w:lang w:val="en-GB"/>
        </w:rPr>
        <w:t xml:space="preserve"> quantities. If </w:t>
      </w:r>
      <w:r w:rsidRPr="003F2D3B">
        <w:rPr>
          <w:lang w:val="en-GB"/>
        </w:rPr>
        <w:t xml:space="preserve">mixing is faulty </w:t>
      </w:r>
      <w:r w:rsidRPr="00D6255B">
        <w:rPr>
          <w:lang w:val="en-GB"/>
        </w:rPr>
        <w:t xml:space="preserve">or non-repeatable, changes may occur in the reaction speed of the materials, which in turn has a negative effect on the </w:t>
      </w:r>
      <w:r>
        <w:rPr>
          <w:lang w:val="en-GB"/>
        </w:rPr>
        <w:t>dispensing</w:t>
      </w:r>
      <w:r w:rsidRPr="00D6255B">
        <w:rPr>
          <w:lang w:val="en-GB"/>
        </w:rPr>
        <w:t xml:space="preserve"> result.</w:t>
      </w:r>
    </w:p>
    <w:p w14:paraId="2E436733" w14:textId="77777777" w:rsidR="00D6255B" w:rsidRPr="00D6255B" w:rsidRDefault="00D6255B" w:rsidP="006349A6">
      <w:pPr>
        <w:spacing w:line="360" w:lineRule="auto"/>
        <w:ind w:right="1560"/>
        <w:rPr>
          <w:lang w:val="en-GB"/>
        </w:rPr>
      </w:pPr>
    </w:p>
    <w:p w14:paraId="784A4AC7" w14:textId="0F0437EA" w:rsidR="00D6255B" w:rsidRPr="00D6255B" w:rsidRDefault="00D6255B" w:rsidP="00D6255B">
      <w:pPr>
        <w:spacing w:line="360" w:lineRule="auto"/>
        <w:ind w:right="1560"/>
        <w:rPr>
          <w:lang w:val="en-GB"/>
        </w:rPr>
      </w:pPr>
      <w:r w:rsidRPr="00D6255B">
        <w:rPr>
          <w:lang w:val="en-GB"/>
        </w:rPr>
        <w:t xml:space="preserve">The advantages of the </w:t>
      </w:r>
      <w:r w:rsidR="00CB3937">
        <w:rPr>
          <w:lang w:val="en-GB"/>
        </w:rPr>
        <w:t>preeflow dispensers</w:t>
      </w:r>
      <w:r w:rsidRPr="00D6255B">
        <w:rPr>
          <w:lang w:val="en-GB"/>
        </w:rPr>
        <w:t xml:space="preserve"> </w:t>
      </w:r>
      <w:proofErr w:type="gramStart"/>
      <w:r w:rsidRPr="00D6255B">
        <w:rPr>
          <w:lang w:val="en-GB"/>
        </w:rPr>
        <w:t>at a glance</w:t>
      </w:r>
      <w:proofErr w:type="gramEnd"/>
      <w:r w:rsidRPr="00D6255B">
        <w:rPr>
          <w:lang w:val="en-GB"/>
        </w:rPr>
        <w:t>:</w:t>
      </w:r>
    </w:p>
    <w:p w14:paraId="5523A895" w14:textId="6AD076CA" w:rsidR="00D6255B" w:rsidRDefault="00CB3937" w:rsidP="00CB3937">
      <w:pPr>
        <w:pStyle w:val="Listenabsatz"/>
        <w:numPr>
          <w:ilvl w:val="0"/>
          <w:numId w:val="1"/>
        </w:numPr>
        <w:spacing w:line="360" w:lineRule="auto"/>
        <w:ind w:right="1560"/>
        <w:rPr>
          <w:lang w:val="en-GB"/>
        </w:rPr>
      </w:pPr>
      <w:r w:rsidRPr="00CB3937">
        <w:rPr>
          <w:lang w:val="en-GB"/>
        </w:rPr>
        <w:t>Lowest dead space</w:t>
      </w:r>
    </w:p>
    <w:p w14:paraId="5A6A2395" w14:textId="14C16DEC" w:rsidR="00CB3937" w:rsidRDefault="00CB3937" w:rsidP="00CB3937">
      <w:pPr>
        <w:pStyle w:val="Listenabsatz"/>
        <w:numPr>
          <w:ilvl w:val="0"/>
          <w:numId w:val="1"/>
        </w:numPr>
        <w:spacing w:line="360" w:lineRule="auto"/>
        <w:ind w:right="1560"/>
        <w:rPr>
          <w:lang w:val="en-GB"/>
        </w:rPr>
      </w:pPr>
      <w:r>
        <w:rPr>
          <w:lang w:val="en-GB"/>
        </w:rPr>
        <w:t>Optimized flow characteristics</w:t>
      </w:r>
    </w:p>
    <w:p w14:paraId="5BA2A783" w14:textId="26888171" w:rsidR="00CB3937" w:rsidRDefault="00CB3937" w:rsidP="00CB3937">
      <w:pPr>
        <w:pStyle w:val="Listenabsatz"/>
        <w:numPr>
          <w:ilvl w:val="0"/>
          <w:numId w:val="1"/>
        </w:numPr>
        <w:spacing w:line="360" w:lineRule="auto"/>
        <w:ind w:right="1560"/>
        <w:rPr>
          <w:lang w:val="en-GB"/>
        </w:rPr>
      </w:pPr>
      <w:r>
        <w:rPr>
          <w:lang w:val="en-GB"/>
        </w:rPr>
        <w:lastRenderedPageBreak/>
        <w:t>Minimum channel volume</w:t>
      </w:r>
    </w:p>
    <w:p w14:paraId="541A7954" w14:textId="77777777" w:rsidR="00CB3937" w:rsidRPr="00CB3937" w:rsidRDefault="00CB3937" w:rsidP="00CB3937">
      <w:pPr>
        <w:spacing w:line="360" w:lineRule="auto"/>
        <w:ind w:right="1560"/>
        <w:rPr>
          <w:lang w:val="en-GB"/>
        </w:rPr>
      </w:pPr>
    </w:p>
    <w:p w14:paraId="12294F5A" w14:textId="78537615" w:rsidR="00CB3937" w:rsidRPr="00CB3937" w:rsidRDefault="00CB3937" w:rsidP="00CB3937">
      <w:pPr>
        <w:spacing w:line="360" w:lineRule="auto"/>
        <w:ind w:right="1560"/>
        <w:rPr>
          <w:lang w:val="en-GB"/>
        </w:rPr>
      </w:pPr>
      <w:r w:rsidRPr="00CB3937">
        <w:rPr>
          <w:lang w:val="en-GB"/>
        </w:rPr>
        <w:t xml:space="preserve">In addition, the </w:t>
      </w:r>
      <w:r w:rsidRPr="00D6255B">
        <w:rPr>
          <w:lang w:val="en-GB"/>
        </w:rPr>
        <w:t xml:space="preserve">space requirement for the integration of a third motor </w:t>
      </w:r>
      <w:r>
        <w:rPr>
          <w:lang w:val="en-GB"/>
        </w:rPr>
        <w:t>ha</w:t>
      </w:r>
      <w:r w:rsidRPr="00D6255B">
        <w:rPr>
          <w:lang w:val="en-GB"/>
        </w:rPr>
        <w:t xml:space="preserve">s </w:t>
      </w:r>
      <w:r>
        <w:rPr>
          <w:lang w:val="en-GB"/>
        </w:rPr>
        <w:t xml:space="preserve">been </w:t>
      </w:r>
      <w:proofErr w:type="gramStart"/>
      <w:r w:rsidRPr="00D6255B">
        <w:rPr>
          <w:lang w:val="en-GB"/>
        </w:rPr>
        <w:t>taken into account</w:t>
      </w:r>
      <w:proofErr w:type="gramEnd"/>
      <w:r w:rsidRPr="00CB3937">
        <w:rPr>
          <w:lang w:val="en-GB"/>
        </w:rPr>
        <w:t xml:space="preserve"> in the first design of the 2</w:t>
      </w:r>
      <w:r>
        <w:rPr>
          <w:lang w:val="en-GB"/>
        </w:rPr>
        <w:t>-component</w:t>
      </w:r>
      <w:r w:rsidRPr="00CB3937">
        <w:rPr>
          <w:lang w:val="en-GB"/>
        </w:rPr>
        <w:t xml:space="preserve"> dispenser. This integration take</w:t>
      </w:r>
      <w:r>
        <w:rPr>
          <w:lang w:val="en-GB"/>
        </w:rPr>
        <w:t>s</w:t>
      </w:r>
      <w:r w:rsidRPr="00CB3937">
        <w:rPr>
          <w:lang w:val="en-GB"/>
        </w:rPr>
        <w:t xml:space="preserve"> place in the new eco-DUOMIX, which will be launched </w:t>
      </w:r>
      <w:r>
        <w:rPr>
          <w:lang w:val="en-GB"/>
        </w:rPr>
        <w:t xml:space="preserve">onto the market </w:t>
      </w:r>
      <w:r w:rsidRPr="00CB3937">
        <w:rPr>
          <w:lang w:val="en-GB"/>
        </w:rPr>
        <w:t>at the end of February. This is a purely dynamic 2</w:t>
      </w:r>
      <w:r>
        <w:rPr>
          <w:lang w:val="en-GB"/>
        </w:rPr>
        <w:t>-component</w:t>
      </w:r>
      <w:r w:rsidRPr="00CB3937">
        <w:rPr>
          <w:lang w:val="en-GB"/>
        </w:rPr>
        <w:t xml:space="preserve"> system for dosing very small quantities</w:t>
      </w:r>
      <w:r w:rsidR="00CD4232">
        <w:rPr>
          <w:lang w:val="en-GB"/>
        </w:rPr>
        <w:t xml:space="preserve"> of viscous materials</w:t>
      </w:r>
      <w:r w:rsidRPr="00CB3937">
        <w:rPr>
          <w:lang w:val="en-GB"/>
        </w:rPr>
        <w:t xml:space="preserve">. preeflow thus offers a solution for all 2-component materials that are difficult to mix. Further information will follow at the end of February! </w:t>
      </w:r>
    </w:p>
    <w:p w14:paraId="55D5D96E" w14:textId="77777777" w:rsidR="00CB3937" w:rsidRPr="00CB3937" w:rsidRDefault="00CB3937" w:rsidP="00CB3937">
      <w:pPr>
        <w:spacing w:line="360" w:lineRule="auto"/>
        <w:ind w:right="1560"/>
        <w:rPr>
          <w:lang w:val="en-GB"/>
        </w:rPr>
      </w:pPr>
    </w:p>
    <w:p w14:paraId="08033179" w14:textId="2AE2B399" w:rsidR="00CB3937" w:rsidRDefault="00CB3937" w:rsidP="00CB3937">
      <w:pPr>
        <w:spacing w:line="360" w:lineRule="auto"/>
        <w:ind w:right="1560"/>
        <w:rPr>
          <w:lang w:val="en-GB"/>
        </w:rPr>
      </w:pPr>
      <w:r w:rsidRPr="00CB3937">
        <w:rPr>
          <w:lang w:val="en-GB"/>
        </w:rPr>
        <w:t>You can find information on the various application areas of the proven preeflow dispensers here:</w:t>
      </w:r>
      <w:r w:rsidR="00CD4232">
        <w:rPr>
          <w:lang w:val="en-GB"/>
        </w:rPr>
        <w:t xml:space="preserve"> </w:t>
      </w:r>
      <w:hyperlink r:id="rId8" w:history="1">
        <w:r w:rsidR="00CD4232" w:rsidRPr="005D518C">
          <w:rPr>
            <w:rStyle w:val="Hyperlink"/>
            <w:lang w:val="en-GB"/>
          </w:rPr>
          <w:t>https://www.preeflow.com/en/fields-of-application/</w:t>
        </w:r>
      </w:hyperlink>
    </w:p>
    <w:p w14:paraId="77E79169" w14:textId="5610D11E" w:rsidR="00DD3DD3" w:rsidRDefault="00DD3DD3" w:rsidP="00A32B7C">
      <w:pPr>
        <w:rPr>
          <w:lang w:val="en-GB"/>
        </w:rPr>
      </w:pPr>
    </w:p>
    <w:p w14:paraId="5E335240" w14:textId="77777777" w:rsidR="00CD4232" w:rsidRPr="00D6255B" w:rsidRDefault="00CD4232" w:rsidP="00A32B7C">
      <w:pPr>
        <w:rPr>
          <w:lang w:val="en-GB"/>
        </w:rPr>
      </w:pPr>
    </w:p>
    <w:p w14:paraId="7DC9E763" w14:textId="77777777" w:rsidR="00FC356D" w:rsidRPr="00D6255B" w:rsidRDefault="00FC356D" w:rsidP="00A32B7C">
      <w:pPr>
        <w:rPr>
          <w:lang w:val="en-GB"/>
        </w:rPr>
      </w:pPr>
    </w:p>
    <w:p w14:paraId="45BEB301" w14:textId="1866769C" w:rsidR="00853652" w:rsidRPr="00502183" w:rsidRDefault="001C7230" w:rsidP="00A32B7C">
      <w:r w:rsidRPr="003F2D3B">
        <w:t>2,</w:t>
      </w:r>
      <w:r w:rsidR="00380164">
        <w:t>725</w:t>
      </w:r>
      <w:r w:rsidR="00853652" w:rsidRPr="003F2D3B">
        <w:t xml:space="preserve"> characters including spaces. Reprinting free of charge. </w:t>
      </w:r>
      <w:r w:rsidR="00853652" w:rsidRPr="00502183">
        <w:t xml:space="preserve">Copy requested. </w:t>
      </w:r>
    </w:p>
    <w:p w14:paraId="3FE618E3" w14:textId="77777777" w:rsidR="00853652" w:rsidRPr="00502183" w:rsidRDefault="00853652" w:rsidP="00A32B7C"/>
    <w:p w14:paraId="7955890A" w14:textId="09C263F5" w:rsidR="00853652" w:rsidRPr="00502183" w:rsidRDefault="00853652" w:rsidP="00A32B7C"/>
    <w:p w14:paraId="01815665" w14:textId="77777777" w:rsidR="00DD3DD3" w:rsidRPr="00502183" w:rsidRDefault="00DD3DD3" w:rsidP="00A32B7C"/>
    <w:p w14:paraId="617736E6" w14:textId="77777777" w:rsidR="00A32B7C" w:rsidRPr="00502183" w:rsidRDefault="00A32B7C" w:rsidP="00A32B7C"/>
    <w:p w14:paraId="3581EF8B" w14:textId="77777777" w:rsidR="00A32B7C" w:rsidRPr="00502183" w:rsidRDefault="00A32B7C" w:rsidP="00A32B7C">
      <w:pPr>
        <w:pStyle w:val="Untertitel"/>
      </w:pPr>
      <w:r w:rsidRPr="00502183">
        <w:t>Pictures:</w:t>
      </w:r>
    </w:p>
    <w:p w14:paraId="54CF871B" w14:textId="77777777" w:rsidR="006349A6" w:rsidRPr="00502183" w:rsidRDefault="006349A6" w:rsidP="006349A6">
      <w:r>
        <w:rPr>
          <w:noProof/>
        </w:rPr>
        <w:drawing>
          <wp:inline distT="0" distB="0" distL="0" distR="0" wp14:anchorId="0E4DCCB9" wp14:editId="59B380D0">
            <wp:extent cx="1959483" cy="2114550"/>
            <wp:effectExtent l="19050" t="19050" r="22225"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rotWithShape="1">
                    <a:blip r:embed="rId9" cstate="print">
                      <a:extLst>
                        <a:ext uri="{28A0092B-C50C-407E-A947-70E740481C1C}">
                          <a14:useLocalDpi xmlns:a14="http://schemas.microsoft.com/office/drawing/2010/main" val="0"/>
                        </a:ext>
                      </a:extLst>
                    </a:blip>
                    <a:srcRect l="45125" t="19687" r="20125" b="24063"/>
                    <a:stretch/>
                  </pic:blipFill>
                  <pic:spPr bwMode="auto">
                    <a:xfrm>
                      <a:off x="0" y="0"/>
                      <a:ext cx="1963415" cy="2118793"/>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r w:rsidRPr="00502183">
        <w:t xml:space="preserve">  </w:t>
      </w:r>
      <w:r>
        <w:rPr>
          <w:noProof/>
        </w:rPr>
        <w:drawing>
          <wp:inline distT="0" distB="0" distL="0" distR="0" wp14:anchorId="5661A0D3" wp14:editId="7A63A2C1">
            <wp:extent cx="3286125" cy="2119250"/>
            <wp:effectExtent l="19050" t="19050" r="9525" b="146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rotWithShape="1">
                    <a:blip r:embed="rId10" cstate="print">
                      <a:extLst>
                        <a:ext uri="{28A0092B-C50C-407E-A947-70E740481C1C}">
                          <a14:useLocalDpi xmlns:a14="http://schemas.microsoft.com/office/drawing/2010/main" val="0"/>
                        </a:ext>
                      </a:extLst>
                    </a:blip>
                    <a:srcRect l="13945" t="8808" r="15780" b="23211"/>
                    <a:stretch/>
                  </pic:blipFill>
                  <pic:spPr bwMode="auto">
                    <a:xfrm>
                      <a:off x="0" y="0"/>
                      <a:ext cx="3294369" cy="2124567"/>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p>
    <w:p w14:paraId="6A71ADA1" w14:textId="271FF033" w:rsidR="00DD3DD3" w:rsidRDefault="00DD3DD3" w:rsidP="00DD3DD3">
      <w:pPr>
        <w:pStyle w:val="Bildunterschrift"/>
        <w:rPr>
          <w:lang w:val="en-GB"/>
        </w:rPr>
      </w:pPr>
      <w:r w:rsidRPr="00D6255B">
        <w:rPr>
          <w:lang w:val="en-GB"/>
        </w:rPr>
        <w:t>The</w:t>
      </w:r>
      <w:r w:rsidR="00502183">
        <w:rPr>
          <w:lang w:val="en-GB"/>
        </w:rPr>
        <w:t xml:space="preserve"> high-precision preeflow dispensers handle low to high viscosity materials – in µl-range!</w:t>
      </w:r>
    </w:p>
    <w:p w14:paraId="2DBF20E2" w14:textId="185D571E" w:rsidR="00DD3DD3" w:rsidRDefault="00DD3DD3" w:rsidP="00DD3DD3">
      <w:pPr>
        <w:pStyle w:val="Bildunterschrift"/>
        <w:rPr>
          <w:lang w:val="en-GB"/>
        </w:rPr>
      </w:pPr>
    </w:p>
    <w:p w14:paraId="4FE3EBA5" w14:textId="5C03D7F2" w:rsidR="00DD3DD3" w:rsidRDefault="00DD3DD3" w:rsidP="00DD3DD3">
      <w:pPr>
        <w:pStyle w:val="Bildunterschrift"/>
      </w:pPr>
    </w:p>
    <w:p w14:paraId="1A805587" w14:textId="485DE420" w:rsidR="007915A2" w:rsidRDefault="007915A2" w:rsidP="00DD3DD3">
      <w:pPr>
        <w:pStyle w:val="Bildunterschrift"/>
      </w:pPr>
    </w:p>
    <w:p w14:paraId="55056F6C" w14:textId="77777777" w:rsidR="007915A2" w:rsidRDefault="007915A2" w:rsidP="00DD3DD3">
      <w:pPr>
        <w:pStyle w:val="Bildunterschrift"/>
      </w:pPr>
      <w:bookmarkStart w:id="1" w:name="_GoBack"/>
      <w:bookmarkEnd w:id="1"/>
    </w:p>
    <w:p w14:paraId="0AC8AAB9" w14:textId="77777777" w:rsidR="00DD3DD3" w:rsidRDefault="00DD3DD3" w:rsidP="00A32B7C">
      <w:pPr>
        <w:pStyle w:val="Untertitel"/>
      </w:pPr>
    </w:p>
    <w:p w14:paraId="3B1C11E5" w14:textId="261EE876" w:rsidR="00FC356D" w:rsidRPr="00406BB4" w:rsidRDefault="003D22D6" w:rsidP="00A32B7C">
      <w:pPr>
        <w:pStyle w:val="Untertitel"/>
      </w:pPr>
      <w:r w:rsidRPr="00406BB4">
        <w:lastRenderedPageBreak/>
        <w:t>Micro</w:t>
      </w:r>
      <w:r w:rsidR="002F00CC" w:rsidRPr="00406BB4">
        <w:t>dispensing</w:t>
      </w:r>
      <w:r w:rsidR="00D6255B">
        <w:t xml:space="preserve"> to</w:t>
      </w:r>
      <w:r w:rsidR="00FC356D" w:rsidRPr="00406BB4">
        <w:t xml:space="preserve"> </w:t>
      </w:r>
      <w:r w:rsidRPr="00406BB4">
        <w:t>p</w:t>
      </w:r>
      <w:r w:rsidR="00FC356D" w:rsidRPr="00406BB4">
        <w:t>erfe</w:t>
      </w:r>
      <w:r w:rsidRPr="00406BB4">
        <w:t>c</w:t>
      </w:r>
      <w:r w:rsidR="00FC356D" w:rsidRPr="00406BB4">
        <w:t>tion!</w:t>
      </w:r>
    </w:p>
    <w:p w14:paraId="3EE74766" w14:textId="77777777" w:rsidR="00E7792E" w:rsidRPr="00406BB4" w:rsidRDefault="00406BB4" w:rsidP="00A32B7C">
      <w:r w:rsidRPr="00406BB4">
        <w:t>preeflow</w:t>
      </w:r>
      <w:r w:rsidRPr="00406BB4">
        <w:rPr>
          <w:vertAlign w:val="superscript"/>
        </w:rPr>
        <w:t>®</w:t>
      </w:r>
      <w:r w:rsidRPr="00406BB4">
        <w:t xml:space="preserve"> is a brand name powered by ViscoTec </w:t>
      </w:r>
      <w:proofErr w:type="spellStart"/>
      <w:r w:rsidRPr="00406BB4">
        <w:t>Pumpen</w:t>
      </w:r>
      <w:proofErr w:type="spellEnd"/>
      <w:r w:rsidRPr="00406BB4">
        <w:t xml:space="preserve">- u. </w:t>
      </w:r>
      <w:proofErr w:type="spellStart"/>
      <w:r w:rsidRPr="00406BB4">
        <w:t>Dosiertechnik</w:t>
      </w:r>
      <w:proofErr w:type="spellEnd"/>
      <w:r w:rsidRPr="00406BB4">
        <w:t xml:space="preserve"> GmbH. ViscoTec primarily deals in systems required for conveying, dispensing, applying, filling and emptying medium to high-viscosity fluids. The headquarters of the technological market leader is in Töging (upper Bavaria, near Munich). In addition, ViscoTec has subsidiaries in the USA, in China, Singapore</w:t>
      </w:r>
      <w:r w:rsidR="003074B0">
        <w:t>, Indie</w:t>
      </w:r>
      <w:r w:rsidRPr="00406BB4">
        <w:t xml:space="preserve"> and in </w:t>
      </w:r>
      <w:r w:rsidR="003074B0">
        <w:t>France</w:t>
      </w:r>
      <w:r w:rsidRPr="00406BB4">
        <w:t xml:space="preserve"> and employs about 250 people worldwide. Established in 2008, preeflow</w:t>
      </w:r>
      <w:r w:rsidRPr="00406BB4">
        <w:rPr>
          <w:vertAlign w:val="superscript"/>
        </w:rPr>
        <w:t>®</w:t>
      </w:r>
      <w:r w:rsidRPr="00406BB4">
        <w:t xml:space="preserve"> ensures precise, purely volumetric dispensing of liquids in the smallest of quantities. preeflow</w:t>
      </w:r>
      <w:r w:rsidRPr="00406BB4">
        <w:rPr>
          <w:vertAlign w:val="superscript"/>
        </w:rPr>
        <w:t>®</w:t>
      </w:r>
      <w:r w:rsidRPr="00406BB4">
        <w:t xml:space="preserve"> products are appreciated worldwide, not to mention because of their unique quality - Made in Germany. An international distribution network offers professional service and support in all areas of preeflow</w:t>
      </w:r>
      <w:r w:rsidRPr="00406BB4">
        <w:rPr>
          <w:vertAlign w:val="superscript"/>
        </w:rPr>
        <w:t>®</w:t>
      </w:r>
      <w:r w:rsidRPr="00406BB4">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406BB4">
        <w:rPr>
          <w:vertAlign w:val="superscript"/>
        </w:rPr>
        <w:t>®</w:t>
      </w:r>
      <w:r w:rsidRPr="00406BB4">
        <w:t xml:space="preserve"> portfolio can be easily integrated due to standardized interfaces. Worldwide more than 20,000 preeflow</w:t>
      </w:r>
      <w:r w:rsidRPr="00406BB4">
        <w:rPr>
          <w:vertAlign w:val="superscript"/>
        </w:rPr>
        <w:t>®</w:t>
      </w:r>
      <w:r w:rsidRPr="00406BB4">
        <w:t xml:space="preserve"> systems are working in semi- or </w:t>
      </w:r>
      <w:proofErr w:type="gramStart"/>
      <w:r w:rsidRPr="00406BB4">
        <w:t>fully-automated</w:t>
      </w:r>
      <w:proofErr w:type="gramEnd"/>
      <w:r w:rsidRPr="00406BB4">
        <w:t xml:space="preserve"> dispensing applications </w:t>
      </w:r>
      <w:r w:rsidRPr="00406BB4">
        <w:rPr>
          <w:rFonts w:ascii="Courier New" w:hAnsi="Courier New" w:cs="Courier New"/>
        </w:rPr>
        <w:t>­</w:t>
      </w:r>
      <w:r w:rsidRPr="00406BB4">
        <w:t xml:space="preserve"> to the user’s and customer's complete satisfaction</w:t>
      </w:r>
      <w:r w:rsidR="00E7792E" w:rsidRPr="00406BB4">
        <w:t>.</w:t>
      </w:r>
    </w:p>
    <w:p w14:paraId="49AAD94A" w14:textId="77777777" w:rsidR="00BD097C" w:rsidRPr="00406BB4" w:rsidRDefault="00BD097C" w:rsidP="00A32B7C"/>
    <w:p w14:paraId="3A5EBF6E" w14:textId="77777777" w:rsidR="00AB3895" w:rsidRPr="00406BB4" w:rsidRDefault="00AB3895" w:rsidP="00A32B7C"/>
    <w:p w14:paraId="5FE2A6BE" w14:textId="77777777" w:rsidR="00AB3895" w:rsidRPr="00406BB4" w:rsidRDefault="00AB3895" w:rsidP="00A32B7C"/>
    <w:p w14:paraId="1523A151" w14:textId="77777777" w:rsidR="00FC356D" w:rsidRPr="00406BB4" w:rsidRDefault="00FC356D" w:rsidP="00A32B7C"/>
    <w:p w14:paraId="12F04F2F" w14:textId="77777777" w:rsidR="00B1362C" w:rsidRPr="00406BB4" w:rsidRDefault="00B1362C" w:rsidP="00A32B7C"/>
    <w:p w14:paraId="281A7EBD" w14:textId="77777777" w:rsidR="00BD097C" w:rsidRPr="00406BB4" w:rsidRDefault="00BD097C" w:rsidP="00A32B7C">
      <w:pPr>
        <w:pStyle w:val="Untertitel"/>
      </w:pPr>
      <w:r w:rsidRPr="00406BB4">
        <w:t>Press</w:t>
      </w:r>
      <w:r w:rsidR="006C0AC6" w:rsidRPr="00406BB4">
        <w:t xml:space="preserve"> contact</w:t>
      </w:r>
      <w:r w:rsidRPr="00406BB4">
        <w:t>:</w:t>
      </w:r>
    </w:p>
    <w:p w14:paraId="1B7CE923" w14:textId="77777777" w:rsidR="00BD097C" w:rsidRPr="00406BB4" w:rsidRDefault="00BD097C" w:rsidP="00A32B7C"/>
    <w:p w14:paraId="22089A57" w14:textId="77777777" w:rsidR="00BD097C" w:rsidRPr="00406BB4" w:rsidRDefault="00BD097C" w:rsidP="00A32B7C">
      <w:r w:rsidRPr="00406BB4">
        <w:t xml:space="preserve">Thomas Diringer, </w:t>
      </w:r>
      <w:r w:rsidR="009C4840" w:rsidRPr="00406BB4">
        <w:t>Manager Business Unit Components &amp; Devices</w:t>
      </w:r>
    </w:p>
    <w:p w14:paraId="3F15BF0B" w14:textId="77777777" w:rsidR="00BD097C" w:rsidRPr="003074B0" w:rsidRDefault="00BD097C" w:rsidP="00A32B7C">
      <w:pPr>
        <w:rPr>
          <w:lang w:val="de-DE"/>
        </w:rPr>
      </w:pPr>
      <w:r w:rsidRPr="003074B0">
        <w:rPr>
          <w:lang w:val="de-DE"/>
        </w:rPr>
        <w:t>ViscoTec Pumpen- u. Dosiertechnik GmbH</w:t>
      </w:r>
    </w:p>
    <w:p w14:paraId="404ECEC1" w14:textId="77777777" w:rsidR="00BD097C" w:rsidRPr="003074B0" w:rsidRDefault="00BD097C" w:rsidP="00A32B7C">
      <w:pPr>
        <w:rPr>
          <w:lang w:val="de-DE"/>
        </w:rPr>
      </w:pPr>
      <w:proofErr w:type="spellStart"/>
      <w:r w:rsidRPr="003074B0">
        <w:rPr>
          <w:lang w:val="de-DE"/>
        </w:rPr>
        <w:t>Amperstraße</w:t>
      </w:r>
      <w:proofErr w:type="spellEnd"/>
      <w:r w:rsidRPr="003074B0">
        <w:rPr>
          <w:lang w:val="de-DE"/>
        </w:rPr>
        <w:t xml:space="preserve"> 13, D-84513 Töging a. Inn</w:t>
      </w:r>
    </w:p>
    <w:p w14:paraId="2A5EA013" w14:textId="77777777" w:rsidR="00BD097C" w:rsidRPr="007915A2" w:rsidRDefault="009C4840" w:rsidP="00A32B7C">
      <w:r w:rsidRPr="007915A2">
        <w:t>Phone</w:t>
      </w:r>
      <w:r w:rsidR="00BD097C" w:rsidRPr="007915A2">
        <w:t xml:space="preserve"> +49 8631 9274-441 </w:t>
      </w:r>
    </w:p>
    <w:p w14:paraId="0B2FCA34" w14:textId="77777777" w:rsidR="00BD097C" w:rsidRPr="007915A2" w:rsidRDefault="00BD097C" w:rsidP="00A32B7C">
      <w:r w:rsidRPr="007915A2">
        <w:t>E-Mail: thomas.diringer@viscotec.de · www.preeflow.com</w:t>
      </w:r>
    </w:p>
    <w:p w14:paraId="436CE370" w14:textId="77777777" w:rsidR="00BD097C" w:rsidRPr="007915A2" w:rsidRDefault="00BD097C" w:rsidP="00A32B7C"/>
    <w:p w14:paraId="435E2285" w14:textId="77777777" w:rsidR="00BD097C" w:rsidRPr="007915A2" w:rsidRDefault="00670B7B" w:rsidP="00A32B7C">
      <w:r w:rsidRPr="007915A2">
        <w:t>Melanie Hintereder</w:t>
      </w:r>
      <w:r w:rsidR="00BD097C" w:rsidRPr="007915A2">
        <w:t>, Marketing</w:t>
      </w:r>
    </w:p>
    <w:p w14:paraId="0D5F1233" w14:textId="77777777" w:rsidR="00BD097C" w:rsidRPr="003074B0" w:rsidRDefault="00BD097C" w:rsidP="00A32B7C">
      <w:pPr>
        <w:rPr>
          <w:lang w:val="de-DE"/>
        </w:rPr>
      </w:pPr>
      <w:r w:rsidRPr="003074B0">
        <w:rPr>
          <w:lang w:val="de-DE"/>
        </w:rPr>
        <w:t>ViscoTec Pumpen- u. Dosiertechnik GmbH</w:t>
      </w:r>
    </w:p>
    <w:p w14:paraId="1349E5C1" w14:textId="77777777" w:rsidR="00BD097C" w:rsidRPr="003074B0" w:rsidRDefault="00BD097C" w:rsidP="00A32B7C">
      <w:pPr>
        <w:rPr>
          <w:lang w:val="de-DE"/>
        </w:rPr>
      </w:pPr>
      <w:proofErr w:type="spellStart"/>
      <w:r w:rsidRPr="003074B0">
        <w:rPr>
          <w:lang w:val="de-DE"/>
        </w:rPr>
        <w:t>Amperstraße</w:t>
      </w:r>
      <w:proofErr w:type="spellEnd"/>
      <w:r w:rsidRPr="003074B0">
        <w:rPr>
          <w:lang w:val="de-DE"/>
        </w:rPr>
        <w:t xml:space="preserve"> 13, D-84513 Töging a. Inn</w:t>
      </w:r>
    </w:p>
    <w:p w14:paraId="14FFCB92" w14:textId="77777777" w:rsidR="00BD097C" w:rsidRPr="007915A2" w:rsidRDefault="009C4840" w:rsidP="00A32B7C">
      <w:pPr>
        <w:rPr>
          <w:lang w:val="fr-FR"/>
        </w:rPr>
      </w:pPr>
      <w:r w:rsidRPr="007915A2">
        <w:rPr>
          <w:lang w:val="fr-FR"/>
        </w:rPr>
        <w:t>Phone</w:t>
      </w:r>
      <w:r w:rsidR="00BD097C" w:rsidRPr="007915A2">
        <w:rPr>
          <w:lang w:val="fr-FR"/>
        </w:rPr>
        <w:t xml:space="preserve"> +49 8631 9274-4</w:t>
      </w:r>
      <w:r w:rsidR="00670B7B" w:rsidRPr="007915A2">
        <w:rPr>
          <w:lang w:val="fr-FR"/>
        </w:rPr>
        <w:t>04</w:t>
      </w:r>
      <w:r w:rsidR="00BD097C" w:rsidRPr="007915A2">
        <w:rPr>
          <w:lang w:val="fr-FR"/>
        </w:rPr>
        <w:t xml:space="preserve"> </w:t>
      </w:r>
    </w:p>
    <w:p w14:paraId="34316B31" w14:textId="77777777" w:rsidR="00207D48" w:rsidRPr="007915A2" w:rsidRDefault="00BD097C" w:rsidP="00A32B7C">
      <w:pPr>
        <w:rPr>
          <w:sz w:val="24"/>
          <w:szCs w:val="24"/>
          <w:lang w:val="fr-FR"/>
        </w:rPr>
      </w:pPr>
      <w:proofErr w:type="gramStart"/>
      <w:r w:rsidRPr="007915A2">
        <w:rPr>
          <w:lang w:val="fr-FR"/>
        </w:rPr>
        <w:t>E-Mail:</w:t>
      </w:r>
      <w:proofErr w:type="gramEnd"/>
      <w:r w:rsidRPr="007915A2">
        <w:rPr>
          <w:lang w:val="fr-FR"/>
        </w:rPr>
        <w:t xml:space="preserve"> </w:t>
      </w:r>
      <w:r w:rsidR="00670B7B" w:rsidRPr="007915A2">
        <w:rPr>
          <w:lang w:val="fr-FR"/>
        </w:rPr>
        <w:t>melanie.hintereder</w:t>
      </w:r>
      <w:r w:rsidRPr="007915A2">
        <w:rPr>
          <w:lang w:val="fr-FR"/>
        </w:rPr>
        <w:t>@viscotec.de · www.viscotec.de</w:t>
      </w:r>
    </w:p>
    <w:p w14:paraId="66EA17C2" w14:textId="77777777" w:rsidR="00207D48" w:rsidRPr="007915A2" w:rsidRDefault="00207D48" w:rsidP="00A32B7C">
      <w:pPr>
        <w:rPr>
          <w:lang w:val="fr-FR"/>
        </w:rPr>
      </w:pPr>
    </w:p>
    <w:p w14:paraId="3D9E48F7" w14:textId="77777777" w:rsidR="00207D48" w:rsidRPr="007915A2" w:rsidRDefault="00207D48" w:rsidP="00A32B7C">
      <w:pPr>
        <w:rPr>
          <w:lang w:val="fr-FR"/>
        </w:rPr>
      </w:pPr>
    </w:p>
    <w:p w14:paraId="7C61FD40" w14:textId="77777777" w:rsidR="00207D48" w:rsidRPr="007915A2" w:rsidRDefault="00207D48" w:rsidP="00A32B7C">
      <w:pPr>
        <w:rPr>
          <w:lang w:val="fr-FR"/>
        </w:rPr>
      </w:pPr>
    </w:p>
    <w:bookmarkEnd w:id="0"/>
    <w:p w14:paraId="563D7211" w14:textId="77777777" w:rsidR="006E2BC6" w:rsidRPr="007915A2" w:rsidRDefault="006E2BC6" w:rsidP="00DA128F">
      <w:pPr>
        <w:pStyle w:val="Fusszeile"/>
        <w:rPr>
          <w:lang w:val="fr-FR"/>
        </w:rPr>
      </w:pPr>
    </w:p>
    <w:sectPr w:rsidR="006E2BC6" w:rsidRPr="007915A2" w:rsidSect="00FF2E2A">
      <w:headerReference w:type="default" r:id="rId11"/>
      <w:footerReference w:type="default" r:id="rId12"/>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03614" w14:textId="77777777" w:rsidR="004B05F0" w:rsidRDefault="004B05F0" w:rsidP="00A32B7C">
      <w:r>
        <w:separator/>
      </w:r>
    </w:p>
  </w:endnote>
  <w:endnote w:type="continuationSeparator" w:id="0">
    <w:p w14:paraId="7ED72D57" w14:textId="77777777" w:rsidR="004B05F0" w:rsidRDefault="004B05F0"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CC690" w14:textId="77777777" w:rsidR="00A32B7C" w:rsidRDefault="00A32B7C" w:rsidP="00A32B7C">
    <w:pPr>
      <w:tabs>
        <w:tab w:val="left" w:pos="3261"/>
      </w:tabs>
      <w:rPr>
        <w:noProof/>
        <w:sz w:val="14"/>
        <w:szCs w:val="14"/>
      </w:rPr>
    </w:pPr>
    <w:bookmarkStart w:id="2" w:name="_Hlk517093279"/>
  </w:p>
  <w:p w14:paraId="23BA3B2F"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21732122" wp14:editId="58CAD663">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3EF314"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3A7D4EBE" w14:textId="77777777" w:rsidR="00A32B7C" w:rsidRDefault="00A32B7C" w:rsidP="00A32B7C">
    <w:pPr>
      <w:tabs>
        <w:tab w:val="left" w:pos="3261"/>
      </w:tabs>
      <w:rPr>
        <w:noProof/>
        <w:sz w:val="14"/>
        <w:szCs w:val="14"/>
      </w:rPr>
    </w:pPr>
  </w:p>
  <w:bookmarkEnd w:id="2"/>
  <w:p w14:paraId="7442B29A" w14:textId="77777777" w:rsidR="00A32B7C" w:rsidRPr="00840986" w:rsidRDefault="00DE1923" w:rsidP="00A32B7C">
    <w:pPr>
      <w:pStyle w:val="Fusszeile"/>
      <w:rPr>
        <w:lang w:val="de-DE"/>
      </w:rPr>
    </w:pPr>
    <w:r w:rsidRPr="00840986">
      <w:rPr>
        <w:lang w:val="de-DE"/>
      </w:rPr>
      <w:t>Status</w:t>
    </w:r>
    <w:r w:rsidR="00A32B7C" w:rsidRPr="00840986">
      <w:rPr>
        <w:lang w:val="de-DE"/>
      </w:rPr>
      <w:t>: 0</w:t>
    </w:r>
    <w:r w:rsidR="00406BB4" w:rsidRPr="00840986">
      <w:rPr>
        <w:lang w:val="de-DE"/>
      </w:rPr>
      <w:t>4</w:t>
    </w:r>
    <w:r w:rsidR="00A32B7C" w:rsidRPr="00840986">
      <w:rPr>
        <w:lang w:val="de-DE"/>
      </w:rPr>
      <w:t>.06.201</w:t>
    </w:r>
    <w:r w:rsidR="00406BB4" w:rsidRPr="00840986">
      <w:rPr>
        <w:lang w:val="de-DE"/>
      </w:rPr>
      <w:t>9</w:t>
    </w:r>
    <w:r w:rsidR="00A32B7C" w:rsidRPr="00840986">
      <w:rPr>
        <w:color w:val="7F7F7F"/>
        <w:lang w:val="de-DE"/>
      </w:rPr>
      <w:tab/>
    </w:r>
    <w:r w:rsidR="00A32B7C" w:rsidRPr="00840986">
      <w:rPr>
        <w:lang w:val="de-DE"/>
      </w:rPr>
      <w:t xml:space="preserve"> </w:t>
    </w:r>
    <w:r w:rsidR="00A32B7C" w:rsidRPr="00840986">
      <w:rPr>
        <w:color w:val="7F7F7F"/>
        <w:lang w:val="de-DE"/>
      </w:rPr>
      <w:tab/>
    </w:r>
    <w:r w:rsidR="00A32B7C" w:rsidRPr="00840986">
      <w:rPr>
        <w:lang w:val="de-DE"/>
      </w:rPr>
      <w:tab/>
    </w:r>
    <w:r w:rsidR="00CA44B8" w:rsidRPr="00840986">
      <w:rPr>
        <w:lang w:val="de-DE"/>
      </w:rPr>
      <w:t>Page</w:t>
    </w:r>
    <w:r w:rsidR="00A32B7C" w:rsidRPr="00840986">
      <w:rPr>
        <w:lang w:val="de-DE"/>
      </w:rPr>
      <w:t xml:space="preserve"> </w:t>
    </w:r>
    <w:r w:rsidR="00A32B7C" w:rsidRPr="003976F5">
      <w:fldChar w:fldCharType="begin"/>
    </w:r>
    <w:r w:rsidR="00A32B7C" w:rsidRPr="00840986">
      <w:rPr>
        <w:lang w:val="de-DE"/>
      </w:rPr>
      <w:instrText xml:space="preserve"> PAGE </w:instrText>
    </w:r>
    <w:r w:rsidR="00A32B7C" w:rsidRPr="003976F5">
      <w:fldChar w:fldCharType="separate"/>
    </w:r>
    <w:r w:rsidR="00A32B7C" w:rsidRPr="00840986">
      <w:rPr>
        <w:lang w:val="de-DE"/>
      </w:rPr>
      <w:t>1</w:t>
    </w:r>
    <w:r w:rsidR="00A32B7C" w:rsidRPr="003976F5">
      <w:fldChar w:fldCharType="end"/>
    </w:r>
    <w:r w:rsidR="00A32B7C" w:rsidRPr="00840986">
      <w:rPr>
        <w:lang w:val="de-DE"/>
      </w:rPr>
      <w:t xml:space="preserve"> </w:t>
    </w:r>
    <w:proofErr w:type="spellStart"/>
    <w:r w:rsidR="00CA44B8" w:rsidRPr="00840986">
      <w:rPr>
        <w:lang w:val="de-DE"/>
      </w:rPr>
      <w:t>of</w:t>
    </w:r>
    <w:proofErr w:type="spellEnd"/>
    <w:r w:rsidR="00A32B7C" w:rsidRPr="00840986">
      <w:rPr>
        <w:lang w:val="de-DE"/>
      </w:rPr>
      <w:t xml:space="preserve"> </w:t>
    </w:r>
    <w:r w:rsidR="00A32B7C" w:rsidRPr="003976F5">
      <w:fldChar w:fldCharType="begin"/>
    </w:r>
    <w:r w:rsidR="00A32B7C" w:rsidRPr="00840986">
      <w:rPr>
        <w:lang w:val="de-DE"/>
      </w:rPr>
      <w:instrText xml:space="preserve"> NUMPAGES  </w:instrText>
    </w:r>
    <w:r w:rsidR="00A32B7C" w:rsidRPr="003976F5">
      <w:fldChar w:fldCharType="separate"/>
    </w:r>
    <w:r w:rsidR="00A32B7C" w:rsidRPr="00840986">
      <w:rPr>
        <w:lang w:val="de-DE"/>
      </w:rPr>
      <w:t>2</w:t>
    </w:r>
    <w:r w:rsidR="00A32B7C" w:rsidRPr="003976F5">
      <w:fldChar w:fldCharType="end"/>
    </w:r>
  </w:p>
  <w:p w14:paraId="3DCAA725" w14:textId="77777777" w:rsidR="00A32B7C" w:rsidRPr="00840986" w:rsidRDefault="00A32B7C" w:rsidP="00A32B7C">
    <w:pPr>
      <w:tabs>
        <w:tab w:val="left" w:pos="450"/>
        <w:tab w:val="left" w:pos="3261"/>
        <w:tab w:val="left" w:pos="5954"/>
        <w:tab w:val="left" w:pos="8789"/>
      </w:tabs>
      <w:rPr>
        <w:b/>
        <w:noProof/>
        <w:sz w:val="14"/>
        <w:szCs w:val="14"/>
        <w:lang w:val="de-DE"/>
      </w:rPr>
    </w:pPr>
  </w:p>
  <w:p w14:paraId="227B112F" w14:textId="77777777" w:rsidR="00A32B7C" w:rsidRPr="00840986" w:rsidRDefault="00A32B7C" w:rsidP="00A32B7C">
    <w:pPr>
      <w:tabs>
        <w:tab w:val="left" w:pos="450"/>
        <w:tab w:val="left" w:pos="3261"/>
        <w:tab w:val="left" w:pos="5954"/>
        <w:tab w:val="left" w:pos="8789"/>
      </w:tabs>
      <w:rPr>
        <w:noProof/>
        <w:color w:val="7F7F7F"/>
        <w:sz w:val="14"/>
        <w:szCs w:val="14"/>
        <w:lang w:val="de-DE"/>
      </w:rPr>
    </w:pPr>
    <w:r w:rsidRPr="00840986">
      <w:rPr>
        <w:b/>
        <w:noProof/>
        <w:sz w:val="14"/>
        <w:szCs w:val="14"/>
        <w:lang w:val="de-DE"/>
      </w:rPr>
      <w:t>ViscoTec</w:t>
    </w:r>
    <w:r w:rsidRPr="00840986">
      <w:rPr>
        <w:noProof/>
        <w:sz w:val="14"/>
        <w:szCs w:val="14"/>
        <w:lang w:val="de-DE"/>
      </w:rPr>
      <w:tab/>
      <w:t>Amperstraße 13</w:t>
    </w:r>
    <w:r w:rsidRPr="00840986">
      <w:rPr>
        <w:noProof/>
        <w:color w:val="7F7F7F"/>
        <w:sz w:val="14"/>
        <w:szCs w:val="14"/>
        <w:lang w:val="de-DE"/>
      </w:rPr>
      <w:tab/>
    </w:r>
    <w:r w:rsidRPr="00840986">
      <w:rPr>
        <w:b/>
        <w:noProof/>
        <w:color w:val="00B0F0"/>
        <w:sz w:val="14"/>
        <w:szCs w:val="14"/>
        <w:lang w:val="de-DE"/>
      </w:rPr>
      <w:t>T</w:t>
    </w:r>
    <w:r w:rsidRPr="00840986">
      <w:rPr>
        <w:noProof/>
        <w:color w:val="7F7F7F"/>
        <w:sz w:val="14"/>
        <w:szCs w:val="14"/>
        <w:lang w:val="de-DE"/>
      </w:rPr>
      <w:t xml:space="preserve">  </w:t>
    </w:r>
    <w:r w:rsidRPr="00840986">
      <w:rPr>
        <w:noProof/>
        <w:sz w:val="14"/>
        <w:szCs w:val="14"/>
        <w:lang w:val="de-DE"/>
      </w:rPr>
      <w:t>+49 8631 9274-0</w:t>
    </w:r>
    <w:r w:rsidRPr="00840986">
      <w:rPr>
        <w:noProof/>
        <w:color w:val="7F7F7F"/>
        <w:sz w:val="14"/>
        <w:szCs w:val="14"/>
        <w:lang w:val="de-DE"/>
      </w:rPr>
      <w:tab/>
    </w:r>
    <w:r w:rsidRPr="00840986">
      <w:rPr>
        <w:b/>
        <w:noProof/>
        <w:color w:val="00B0F0"/>
        <w:sz w:val="14"/>
        <w:szCs w:val="14"/>
        <w:lang w:val="de-DE"/>
      </w:rPr>
      <w:t>W</w:t>
    </w:r>
    <w:r w:rsidRPr="00840986">
      <w:rPr>
        <w:noProof/>
        <w:color w:val="7F7F7F"/>
        <w:sz w:val="14"/>
        <w:szCs w:val="14"/>
        <w:lang w:val="de-DE"/>
      </w:rPr>
      <w:t xml:space="preserve"> </w:t>
    </w:r>
    <w:r w:rsidRPr="00840986">
      <w:rPr>
        <w:noProof/>
        <w:color w:val="7F7F7F"/>
        <w:sz w:val="20"/>
        <w:szCs w:val="20"/>
        <w:lang w:val="de-DE"/>
      </w:rPr>
      <w:t xml:space="preserve"> </w:t>
    </w:r>
    <w:r w:rsidRPr="00840986">
      <w:rPr>
        <w:noProof/>
        <w:sz w:val="14"/>
        <w:szCs w:val="14"/>
        <w:lang w:val="de-DE"/>
      </w:rPr>
      <w:t xml:space="preserve">www.viscotec.de </w:t>
    </w:r>
  </w:p>
  <w:p w14:paraId="664EEA46"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A0019" w14:textId="77777777" w:rsidR="004B05F0" w:rsidRDefault="004B05F0" w:rsidP="00A32B7C">
      <w:r>
        <w:separator/>
      </w:r>
    </w:p>
  </w:footnote>
  <w:footnote w:type="continuationSeparator" w:id="0">
    <w:p w14:paraId="305D9D82" w14:textId="77777777" w:rsidR="004B05F0" w:rsidRDefault="004B05F0"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4B442"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06E3A9E9" wp14:editId="66FA0A89">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48E4039F" w14:textId="77777777" w:rsidR="006B78C4" w:rsidRDefault="006B78C4" w:rsidP="00A32B7C">
    <w:pPr>
      <w:pStyle w:val="Kopfzeile"/>
    </w:pPr>
  </w:p>
  <w:p w14:paraId="6E6BB4B7" w14:textId="77777777" w:rsidR="006B78C4" w:rsidRDefault="006B78C4" w:rsidP="00A32B7C">
    <w:pPr>
      <w:pStyle w:val="Kopfzeile"/>
    </w:pPr>
  </w:p>
  <w:p w14:paraId="3500B509" w14:textId="77777777" w:rsidR="006B78C4" w:rsidRDefault="006B78C4" w:rsidP="00A32B7C">
    <w:pPr>
      <w:pStyle w:val="Kopfzeile"/>
    </w:pPr>
  </w:p>
  <w:p w14:paraId="772DEB1D" w14:textId="77777777" w:rsidR="006B78C4" w:rsidRDefault="006B78C4" w:rsidP="00A32B7C">
    <w:pPr>
      <w:pStyle w:val="Kopfzeile"/>
    </w:pPr>
  </w:p>
  <w:p w14:paraId="37A1B75D" w14:textId="77777777" w:rsidR="006B78C4" w:rsidRDefault="00DA128F" w:rsidP="00DA128F">
    <w:pPr>
      <w:pStyle w:val="KopfzeileHeadline"/>
    </w:pPr>
    <w:r w:rsidRPr="00BD6574">
      <w:t>PRES</w:t>
    </w:r>
    <w:r>
      <w:t>S RELEASE</w:t>
    </w:r>
  </w:p>
  <w:p w14:paraId="52044021" w14:textId="77777777" w:rsidR="006B78C4" w:rsidRDefault="006B78C4" w:rsidP="00A32B7C">
    <w:pPr>
      <w:pStyle w:val="Kopfzeile"/>
    </w:pPr>
  </w:p>
  <w:p w14:paraId="081D078F" w14:textId="77777777" w:rsidR="006B78C4" w:rsidRDefault="006B78C4" w:rsidP="00A32B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0F21A2"/>
    <w:multiLevelType w:val="hybridMultilevel"/>
    <w:tmpl w:val="09CACD2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5567FE0"/>
    <w:multiLevelType w:val="hybridMultilevel"/>
    <w:tmpl w:val="7E1C96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9A6"/>
    <w:rsid w:val="0007129F"/>
    <w:rsid w:val="000B283B"/>
    <w:rsid w:val="000B44E6"/>
    <w:rsid w:val="000D7869"/>
    <w:rsid w:val="000F3990"/>
    <w:rsid w:val="00100CE6"/>
    <w:rsid w:val="00102DAD"/>
    <w:rsid w:val="0019178B"/>
    <w:rsid w:val="00196B6F"/>
    <w:rsid w:val="001C7230"/>
    <w:rsid w:val="00207D48"/>
    <w:rsid w:val="00213097"/>
    <w:rsid w:val="00216DE4"/>
    <w:rsid w:val="00217A6A"/>
    <w:rsid w:val="00290FD0"/>
    <w:rsid w:val="002B4444"/>
    <w:rsid w:val="002C1B58"/>
    <w:rsid w:val="002E28A1"/>
    <w:rsid w:val="002F00CC"/>
    <w:rsid w:val="00304C95"/>
    <w:rsid w:val="003074B0"/>
    <w:rsid w:val="00310BD9"/>
    <w:rsid w:val="00346F0D"/>
    <w:rsid w:val="00380164"/>
    <w:rsid w:val="003857C3"/>
    <w:rsid w:val="003B111D"/>
    <w:rsid w:val="003B326E"/>
    <w:rsid w:val="003D22D6"/>
    <w:rsid w:val="003F2D3B"/>
    <w:rsid w:val="00406BB4"/>
    <w:rsid w:val="004B05F0"/>
    <w:rsid w:val="004E6B52"/>
    <w:rsid w:val="004E6FF0"/>
    <w:rsid w:val="004F0705"/>
    <w:rsid w:val="00502183"/>
    <w:rsid w:val="00502B11"/>
    <w:rsid w:val="0050565F"/>
    <w:rsid w:val="00517A36"/>
    <w:rsid w:val="00525CD7"/>
    <w:rsid w:val="0056210E"/>
    <w:rsid w:val="00592CA1"/>
    <w:rsid w:val="00610C87"/>
    <w:rsid w:val="006219C0"/>
    <w:rsid w:val="006349A6"/>
    <w:rsid w:val="006449A7"/>
    <w:rsid w:val="00670B7B"/>
    <w:rsid w:val="006B78C4"/>
    <w:rsid w:val="006C0AC6"/>
    <w:rsid w:val="006E2BC6"/>
    <w:rsid w:val="00756476"/>
    <w:rsid w:val="00767B06"/>
    <w:rsid w:val="007915A2"/>
    <w:rsid w:val="00791C50"/>
    <w:rsid w:val="007C6E88"/>
    <w:rsid w:val="007E6CA0"/>
    <w:rsid w:val="00840986"/>
    <w:rsid w:val="00853652"/>
    <w:rsid w:val="00875813"/>
    <w:rsid w:val="008F388C"/>
    <w:rsid w:val="00986F58"/>
    <w:rsid w:val="009C4840"/>
    <w:rsid w:val="009D0A72"/>
    <w:rsid w:val="00A02963"/>
    <w:rsid w:val="00A173C2"/>
    <w:rsid w:val="00A23D8E"/>
    <w:rsid w:val="00A32B7C"/>
    <w:rsid w:val="00A829E6"/>
    <w:rsid w:val="00AB3895"/>
    <w:rsid w:val="00AB5A6B"/>
    <w:rsid w:val="00AC080F"/>
    <w:rsid w:val="00AE544C"/>
    <w:rsid w:val="00B07A84"/>
    <w:rsid w:val="00B12037"/>
    <w:rsid w:val="00B1362C"/>
    <w:rsid w:val="00B24A85"/>
    <w:rsid w:val="00B27160"/>
    <w:rsid w:val="00B60D2C"/>
    <w:rsid w:val="00BD097C"/>
    <w:rsid w:val="00C135DE"/>
    <w:rsid w:val="00C75A4E"/>
    <w:rsid w:val="00C83E1A"/>
    <w:rsid w:val="00C93794"/>
    <w:rsid w:val="00CA44B8"/>
    <w:rsid w:val="00CB3937"/>
    <w:rsid w:val="00CD306B"/>
    <w:rsid w:val="00CD4232"/>
    <w:rsid w:val="00CF08AA"/>
    <w:rsid w:val="00D111CF"/>
    <w:rsid w:val="00D130D4"/>
    <w:rsid w:val="00D14C0D"/>
    <w:rsid w:val="00D520FF"/>
    <w:rsid w:val="00D6255B"/>
    <w:rsid w:val="00D64095"/>
    <w:rsid w:val="00D844A5"/>
    <w:rsid w:val="00D87711"/>
    <w:rsid w:val="00DA128F"/>
    <w:rsid w:val="00DD3DD3"/>
    <w:rsid w:val="00DE1923"/>
    <w:rsid w:val="00DE41D5"/>
    <w:rsid w:val="00DF6847"/>
    <w:rsid w:val="00DF7061"/>
    <w:rsid w:val="00E51612"/>
    <w:rsid w:val="00E7792E"/>
    <w:rsid w:val="00EB69BA"/>
    <w:rsid w:val="00EC0948"/>
    <w:rsid w:val="00ED36C9"/>
    <w:rsid w:val="00ED3E57"/>
    <w:rsid w:val="00F3451B"/>
    <w:rsid w:val="00FB02DB"/>
    <w:rsid w:val="00FC356D"/>
    <w:rsid w:val="00FD2B86"/>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459D8A"/>
  <w15:docId w15:val="{CDAEEEB3-EFCC-49A6-9A6F-BFA15E4F4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paragraph" w:styleId="berschrift2">
    <w:name w:val="heading 2"/>
    <w:basedOn w:val="Standard"/>
    <w:next w:val="Standard"/>
    <w:link w:val="berschrift2Zchn"/>
    <w:uiPriority w:val="9"/>
    <w:unhideWhenUsed/>
    <w:qFormat/>
    <w:rsid w:val="006349A6"/>
    <w:pPr>
      <w:spacing w:line="360" w:lineRule="auto"/>
      <w:ind w:right="1418"/>
      <w:outlineLvl w:val="1"/>
    </w:pPr>
    <w:rPr>
      <w:b/>
      <w:sz w:val="28"/>
      <w:szCs w:val="28"/>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 w:type="character" w:customStyle="1" w:styleId="berschrift2Zchn">
    <w:name w:val="Überschrift 2 Zchn"/>
    <w:basedOn w:val="Absatz-Standardschriftart"/>
    <w:link w:val="berschrift2"/>
    <w:uiPriority w:val="9"/>
    <w:rsid w:val="006349A6"/>
    <w:rPr>
      <w:rFonts w:ascii="Arial" w:hAnsi="Arial" w:cs="Arial"/>
      <w:b/>
      <w:sz w:val="28"/>
      <w:szCs w:val="28"/>
    </w:rPr>
  </w:style>
  <w:style w:type="paragraph" w:styleId="Listenabsatz">
    <w:name w:val="List Paragraph"/>
    <w:basedOn w:val="Standard"/>
    <w:uiPriority w:val="34"/>
    <w:rsid w:val="00CB3937"/>
    <w:pPr>
      <w:ind w:left="720"/>
      <w:contextualSpacing/>
    </w:pPr>
  </w:style>
  <w:style w:type="character" w:styleId="NichtaufgelsteErwhnung">
    <w:name w:val="Unresolved Mention"/>
    <w:basedOn w:val="Absatz-Standardschriftart"/>
    <w:uiPriority w:val="99"/>
    <w:semiHidden/>
    <w:unhideWhenUsed/>
    <w:rsid w:val="00CD42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eflow.com/en/fields-of-applic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550ED-EEDA-4B25-BB71-03BF311D5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4092</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2</cp:revision>
  <cp:lastPrinted>2019-12-17T11:51:00Z</cp:lastPrinted>
  <dcterms:created xsi:type="dcterms:W3CDTF">2020-02-18T09:54:00Z</dcterms:created>
  <dcterms:modified xsi:type="dcterms:W3CDTF">2020-02-18T09:54:00Z</dcterms:modified>
</cp:coreProperties>
</file>