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B35B5" w14:textId="77777777" w:rsidR="00113A5A" w:rsidRPr="00CC7898" w:rsidRDefault="00113A5A" w:rsidP="00113A5A">
      <w:pPr>
        <w:pStyle w:val="StandardWeb"/>
        <w:rPr>
          <w:b/>
          <w:bCs/>
          <w:kern w:val="36"/>
          <w:sz w:val="28"/>
          <w:szCs w:val="28"/>
          <w:lang w:val="fr-FR"/>
        </w:rPr>
      </w:pPr>
      <w:r w:rsidRPr="00CC7898">
        <w:rPr>
          <w:b/>
          <w:bCs/>
          <w:kern w:val="36"/>
          <w:sz w:val="28"/>
          <w:szCs w:val="28"/>
          <w:lang w:val="fr-FR"/>
        </w:rPr>
        <w:t xml:space="preserve">Application de dosage pour des appareils médicaux connectés </w:t>
      </w:r>
    </w:p>
    <w:p w14:paraId="79A1EF2F" w14:textId="77777777" w:rsidR="007C7C9D" w:rsidRPr="00CC7898" w:rsidRDefault="007C7C9D" w:rsidP="0029423D">
      <w:pPr>
        <w:pStyle w:val="Headline1"/>
        <w:rPr>
          <w:lang w:val="fr-FR"/>
        </w:rPr>
      </w:pPr>
    </w:p>
    <w:p w14:paraId="19F9D1CC" w14:textId="576E0DEA" w:rsidR="007C7C9D" w:rsidRPr="00CC7898" w:rsidRDefault="001126BF" w:rsidP="001126BF">
      <w:pPr>
        <w:pStyle w:val="Subheadline"/>
        <w:rPr>
          <w:rStyle w:val="Fett"/>
          <w:b/>
          <w:bCs w:val="0"/>
          <w:lang w:val="fr-FR"/>
        </w:rPr>
      </w:pPr>
      <w:r w:rsidRPr="00CC7898">
        <w:rPr>
          <w:rStyle w:val="Fett"/>
          <w:b/>
          <w:bCs w:val="0"/>
          <w:lang w:val="fr-FR"/>
        </w:rPr>
        <w:t>Application d'une graisse très visqueuse avec le doseur preeflow eco-PEN330</w:t>
      </w:r>
    </w:p>
    <w:p w14:paraId="3418BE8F" w14:textId="77777777" w:rsidR="005F0AE6" w:rsidRPr="00CC7898" w:rsidRDefault="005F0AE6" w:rsidP="001126BF">
      <w:pPr>
        <w:pStyle w:val="Subheadline"/>
        <w:rPr>
          <w:lang w:val="fr-FR"/>
        </w:rPr>
      </w:pPr>
    </w:p>
    <w:p w14:paraId="52EFB5F1" w14:textId="77777777" w:rsidR="0029423D" w:rsidRPr="00CC7898" w:rsidRDefault="0029423D" w:rsidP="0029423D">
      <w:pPr>
        <w:rPr>
          <w:lang w:val="fr-FR"/>
        </w:rPr>
      </w:pPr>
    </w:p>
    <w:p w14:paraId="5A6274D2" w14:textId="45852037" w:rsidR="0075426F" w:rsidRPr="00CC7898" w:rsidRDefault="00915DA1" w:rsidP="0075426F">
      <w:pPr>
        <w:pStyle w:val="Presse-Fliesstext"/>
        <w:rPr>
          <w:lang w:val="fr-FR"/>
        </w:rPr>
      </w:pPr>
      <w:r>
        <w:rPr>
          <w:lang w:val="fr-FR"/>
        </w:rPr>
        <w:br/>
      </w:r>
      <w:r w:rsidR="0075426F" w:rsidRPr="00CC7898">
        <w:rPr>
          <w:lang w:val="fr-FR"/>
        </w:rPr>
        <w:t xml:space="preserve">Lorsque l’on parle d’accessoires connectés à porter sur soi, la plupart des gens pensent </w:t>
      </w:r>
      <w:proofErr w:type="gramStart"/>
      <w:r w:rsidR="0075426F" w:rsidRPr="00CC7898">
        <w:rPr>
          <w:lang w:val="fr-FR"/>
        </w:rPr>
        <w:t>de suite</w:t>
      </w:r>
      <w:proofErr w:type="gramEnd"/>
      <w:r w:rsidR="0075426F" w:rsidRPr="00CC7898">
        <w:rPr>
          <w:lang w:val="fr-FR"/>
        </w:rPr>
        <w:t xml:space="preserve"> aux montres connectées. Mais il n’y a pas que ça ! Sur le marché de l'électronique grand public, il existe par exemple des appareils auditifs, ou encore des casques connectés, des lunettes de réalité augmentée et virtuelle ou des bagues connectées. Dans le secteur du sport, on trouve des traqueurs de fitness, des montres de sport, des chaussures et des ceintures connectées. Une tendance évidente dans le domaine de la mode est celle des vêtements connectés et des e-textiles qui sont équipés de dispositifs ou de fonctions électroniques. Mais même cela n'est en fait que la partie émergée de l'iceberg.</w:t>
      </w:r>
    </w:p>
    <w:p w14:paraId="0E287814" w14:textId="77777777" w:rsidR="0075426F" w:rsidRPr="00CC7898" w:rsidRDefault="0075426F" w:rsidP="0075426F">
      <w:pPr>
        <w:pStyle w:val="Presse-Fliesstext"/>
        <w:rPr>
          <w:lang w:val="fr-FR"/>
        </w:rPr>
      </w:pPr>
      <w:r w:rsidRPr="00CC7898">
        <w:rPr>
          <w:lang w:val="fr-FR"/>
        </w:rPr>
        <w:t xml:space="preserve">Un marché très important des accessoires connectés à porter sur soi est celui de la médecine et des soins de santé. Dans ce domaine, ces dispositifs connectés remplissent déjà diverses fonctions de véritables appareils médicaux. La surveillance des fonctions vitales comme le rythme cardiaque, le niveau d'oxygène, la température du corps et la fréquence respiratoire sont déjà des applications standards. </w:t>
      </w:r>
    </w:p>
    <w:p w14:paraId="41935E4C" w14:textId="77777777" w:rsidR="0075426F" w:rsidRPr="00CC7898" w:rsidRDefault="0075426F" w:rsidP="0075426F">
      <w:pPr>
        <w:pStyle w:val="Presse-Fliesstext"/>
        <w:rPr>
          <w:lang w:val="fr-FR"/>
        </w:rPr>
      </w:pPr>
      <w:r w:rsidRPr="00CC7898">
        <w:rPr>
          <w:lang w:val="fr-FR"/>
        </w:rPr>
        <w:t>Le confort, la souplesse d'utilisation et la connectivité de ces dispositifs les rendent particulièrement supérieurs à de nombreux dispositifs médicaux conventionnels. Ces avancées technologiques ont été rendues possibles grâce aux progrès réalisés dans la technologie des capteurs, la gestion de l'énergie et la technologie des émetteurs.</w:t>
      </w:r>
    </w:p>
    <w:p w14:paraId="4D956AF1" w14:textId="77777777" w:rsidR="0075426F" w:rsidRPr="00CC7898" w:rsidRDefault="0075426F" w:rsidP="0075426F">
      <w:pPr>
        <w:pStyle w:val="Presse-Fliesstext"/>
        <w:rPr>
          <w:lang w:val="fr-FR"/>
        </w:rPr>
      </w:pPr>
      <w:r w:rsidRPr="00CC7898">
        <w:rPr>
          <w:lang w:val="fr-FR"/>
        </w:rPr>
        <w:t>Pour rendre cette technologie possible, la méthode de production devait également progresser - et avec elle la manipulation des matériaux visqueux. Dans la plupart des processus de production, les fluides doivent être appliqués de manière entièrement automatisée et avec un haut degré de répétabilité. Les produits à traiter peuvent être par exemple des adhésifs, des silicones, des matériaux conducteurs thermiques et électriques ou des graisses.</w:t>
      </w:r>
    </w:p>
    <w:p w14:paraId="78347783" w14:textId="77777777" w:rsidR="0075426F" w:rsidRPr="00CC7898" w:rsidRDefault="0075426F" w:rsidP="0075426F">
      <w:pPr>
        <w:pStyle w:val="Presse-Fliesstext"/>
        <w:rPr>
          <w:lang w:val="fr-FR"/>
        </w:rPr>
      </w:pPr>
      <w:r w:rsidRPr="00CC7898">
        <w:rPr>
          <w:lang w:val="fr-FR"/>
        </w:rPr>
        <w:t>De nombreuses applications de dosage pour des appareillages médicaux connectés sont réalisées avec des doseurs preeflow de chez ViscoTec :</w:t>
      </w:r>
    </w:p>
    <w:p w14:paraId="35625933" w14:textId="77777777" w:rsidR="0075426F" w:rsidRPr="00CC7898" w:rsidRDefault="0075426F" w:rsidP="00CC7898">
      <w:pPr>
        <w:pStyle w:val="Presse-Fliesstext"/>
        <w:numPr>
          <w:ilvl w:val="0"/>
          <w:numId w:val="15"/>
        </w:numPr>
        <w:rPr>
          <w:lang w:val="fr-FR"/>
        </w:rPr>
      </w:pPr>
      <w:r w:rsidRPr="00CC7898">
        <w:rPr>
          <w:lang w:val="fr-FR"/>
        </w:rPr>
        <w:t>Les piles sont collées à l’intérieur du boîtier.</w:t>
      </w:r>
    </w:p>
    <w:p w14:paraId="1904C55C" w14:textId="77777777" w:rsidR="0075426F" w:rsidRPr="00CC7898" w:rsidRDefault="0075426F" w:rsidP="00CC7898">
      <w:pPr>
        <w:pStyle w:val="Presse-Fliesstext"/>
        <w:numPr>
          <w:ilvl w:val="0"/>
          <w:numId w:val="15"/>
        </w:numPr>
        <w:rPr>
          <w:lang w:val="fr-FR"/>
        </w:rPr>
      </w:pPr>
      <w:r w:rsidRPr="00CC7898">
        <w:rPr>
          <w:lang w:val="fr-FR"/>
        </w:rPr>
        <w:t>Pour la gestion thermique de l'énergie, des pâtes conductrices sont appliquées.</w:t>
      </w:r>
    </w:p>
    <w:p w14:paraId="67140701" w14:textId="77777777" w:rsidR="0075426F" w:rsidRPr="00CC7898" w:rsidRDefault="0075426F" w:rsidP="00CC7898">
      <w:pPr>
        <w:pStyle w:val="Presse-Fliesstext"/>
        <w:numPr>
          <w:ilvl w:val="0"/>
          <w:numId w:val="15"/>
        </w:numPr>
        <w:rPr>
          <w:lang w:val="fr-FR"/>
        </w:rPr>
      </w:pPr>
      <w:r w:rsidRPr="00CC7898">
        <w:rPr>
          <w:lang w:val="fr-FR"/>
        </w:rPr>
        <w:t>Les processeurs sont recouverts ou imprégnés d'une résine appropriée.</w:t>
      </w:r>
    </w:p>
    <w:p w14:paraId="065D8E21" w14:textId="77777777" w:rsidR="0075426F" w:rsidRPr="00CC7898" w:rsidRDefault="0075426F" w:rsidP="00CC7898">
      <w:pPr>
        <w:pStyle w:val="Presse-Fliesstext"/>
        <w:numPr>
          <w:ilvl w:val="0"/>
          <w:numId w:val="15"/>
        </w:numPr>
        <w:rPr>
          <w:lang w:val="fr-FR"/>
        </w:rPr>
      </w:pPr>
      <w:r w:rsidRPr="00CC7898">
        <w:rPr>
          <w:lang w:val="fr-FR"/>
        </w:rPr>
        <w:t>Les modules RF sont fixés et collés, également avec des matériaux électriquement conducteurs si nécessaire.</w:t>
      </w:r>
    </w:p>
    <w:p w14:paraId="4E223685" w14:textId="77777777" w:rsidR="0075426F" w:rsidRPr="00CC7898" w:rsidRDefault="0075426F" w:rsidP="00CC7898">
      <w:pPr>
        <w:pStyle w:val="Presse-Fliesstext"/>
        <w:numPr>
          <w:ilvl w:val="0"/>
          <w:numId w:val="15"/>
        </w:numPr>
        <w:rPr>
          <w:lang w:val="fr-FR"/>
        </w:rPr>
      </w:pPr>
      <w:r w:rsidRPr="00CC7898">
        <w:rPr>
          <w:lang w:val="fr-FR"/>
        </w:rPr>
        <w:t>Les actionneurs, comme les écrans, sont scellés et collés.</w:t>
      </w:r>
    </w:p>
    <w:p w14:paraId="11925E71" w14:textId="77777777" w:rsidR="0075426F" w:rsidRPr="00CC7898" w:rsidRDefault="0075426F" w:rsidP="00CC7898">
      <w:pPr>
        <w:pStyle w:val="Presse-Fliesstext"/>
        <w:numPr>
          <w:ilvl w:val="0"/>
          <w:numId w:val="15"/>
        </w:numPr>
        <w:rPr>
          <w:lang w:val="fr-FR"/>
        </w:rPr>
      </w:pPr>
      <w:r w:rsidRPr="00CC7898">
        <w:rPr>
          <w:lang w:val="fr-FR"/>
        </w:rPr>
        <w:t>Les capteurs sont scellés, encapsulés et collés.</w:t>
      </w:r>
    </w:p>
    <w:p w14:paraId="373DCB86" w14:textId="77777777" w:rsidR="0075426F" w:rsidRPr="00CC7898" w:rsidRDefault="0075426F" w:rsidP="00CC7898">
      <w:pPr>
        <w:pStyle w:val="Presse-Fliesstext"/>
        <w:numPr>
          <w:ilvl w:val="0"/>
          <w:numId w:val="15"/>
        </w:numPr>
        <w:rPr>
          <w:lang w:val="fr-FR"/>
        </w:rPr>
      </w:pPr>
      <w:r w:rsidRPr="00CC7898">
        <w:rPr>
          <w:lang w:val="fr-FR"/>
        </w:rPr>
        <w:t>Les systèmes micro-électro-mécaniques (MEMS) sont généralement collés ou encapsulés avec un adhésif approprié.</w:t>
      </w:r>
    </w:p>
    <w:p w14:paraId="58B5AF8A" w14:textId="77777777" w:rsidR="0075426F" w:rsidRPr="00CC7898" w:rsidRDefault="0075426F" w:rsidP="0075426F">
      <w:pPr>
        <w:pStyle w:val="Presse-Fliesstext"/>
        <w:rPr>
          <w:lang w:val="fr-FR"/>
        </w:rPr>
      </w:pPr>
      <w:r w:rsidRPr="00CC7898">
        <w:rPr>
          <w:lang w:val="fr-FR"/>
        </w:rPr>
        <w:t>Le principe éprouvé du piston sans fin de ViscoTec permet un dosage purement volumétrique et sans pulsation - qu'il s'agisse de matériaux de faible ou forte viscosité, avec ou sans contenu chargé. La haute répétabilité de plus de 99 % garantit une solution optimale pour les applications de dosage typiques dans la production de dispositifs médicaux.</w:t>
      </w:r>
    </w:p>
    <w:p w14:paraId="1AF4FCAD" w14:textId="3BCE927B" w:rsidR="0075426F" w:rsidRPr="00CC7898" w:rsidRDefault="0075426F" w:rsidP="00CC7898">
      <w:pPr>
        <w:pStyle w:val="Subheadline"/>
        <w:rPr>
          <w:rStyle w:val="Fett"/>
          <w:b/>
          <w:bCs w:val="0"/>
          <w:lang w:val="fr-FR"/>
        </w:rPr>
      </w:pPr>
      <w:r w:rsidRPr="00CC7898">
        <w:rPr>
          <w:rStyle w:val="Fett"/>
          <w:b/>
          <w:bCs w:val="0"/>
          <w:lang w:val="fr-FR"/>
        </w:rPr>
        <w:t>Exemple d'application d’appareil médical connecté pour la gestion du diabète</w:t>
      </w:r>
    </w:p>
    <w:p w14:paraId="7ED647FE" w14:textId="77777777" w:rsidR="00CC7898" w:rsidRPr="00CC7898" w:rsidRDefault="00CC7898" w:rsidP="00CC7898">
      <w:pPr>
        <w:pStyle w:val="Subheadline"/>
        <w:rPr>
          <w:rStyle w:val="Fett"/>
          <w:b/>
          <w:bCs w:val="0"/>
          <w:lang w:val="fr-FR"/>
        </w:rPr>
      </w:pPr>
    </w:p>
    <w:p w14:paraId="438E323E" w14:textId="77777777" w:rsidR="0075426F" w:rsidRPr="00CC7898" w:rsidRDefault="0075426F" w:rsidP="0075426F">
      <w:pPr>
        <w:pStyle w:val="Presse-Fliesstext"/>
        <w:rPr>
          <w:lang w:val="fr-FR"/>
        </w:rPr>
      </w:pPr>
      <w:r w:rsidRPr="00CC7898">
        <w:rPr>
          <w:lang w:val="fr-FR"/>
        </w:rPr>
        <w:t>Un domaine qui présente un potentiel particulièrement élevé pour ces appareillages est la gestion du diabète. La taille du marché de la gestion numérique du diabète aux États-Unis a un taux de croissance annuel moyen d'environ 20 %. Cette croissance est principalement due à la surveillance continue du glucose, aux glucomètres intelligents et aux systèmes en boucle fermée.</w:t>
      </w:r>
    </w:p>
    <w:p w14:paraId="412A539C" w14:textId="77777777" w:rsidR="0075426F" w:rsidRPr="00CC7898" w:rsidRDefault="0075426F" w:rsidP="0075426F">
      <w:pPr>
        <w:pStyle w:val="Presse-Fliesstext"/>
        <w:rPr>
          <w:lang w:val="fr-FR"/>
        </w:rPr>
      </w:pPr>
      <w:r w:rsidRPr="00CC7898">
        <w:rPr>
          <w:lang w:val="fr-FR"/>
        </w:rPr>
        <w:t xml:space="preserve">Frazel D'souza, Ingénieur Commercial Sénior chez ViscoTec en Inde, supervise une application intéressante d'un système en « boucle fermée ». Un tel système consiste en un patch cutané qui mesure le niveau de glucose dans le sang, un appareil qui calcule la dose d'insuline et une pompe à insuline intelligente qui injecte le médicament. </w:t>
      </w:r>
    </w:p>
    <w:p w14:paraId="0FD64E68" w14:textId="77777777" w:rsidR="0075426F" w:rsidRPr="00CC7898" w:rsidRDefault="0075426F" w:rsidP="0075426F">
      <w:pPr>
        <w:pStyle w:val="Presse-Fliesstext"/>
        <w:rPr>
          <w:lang w:val="fr-FR"/>
        </w:rPr>
      </w:pPr>
      <w:r w:rsidRPr="00CC7898">
        <w:rPr>
          <w:lang w:val="fr-FR"/>
        </w:rPr>
        <w:t>L'application consiste à doser avec précision un volume défini de graisse dans un composant de la boîte de vitesses du moteur électrique de la pompe à insuline. La principale préoccupation du client était de doser avec précision un point de 0,7 microlitre d'une graisse très visqueuse. Ces exigences élevées ont pu être satisfaites grâce à l'éco-PEN330 de chez preeflow. Le système de dosage est utilisé par un client en Inde occidentale, le fabricant du système "en boucle fermée" se trouve lui aux États-Unis.</w:t>
      </w:r>
    </w:p>
    <w:p w14:paraId="02BE599D" w14:textId="16B8E98A" w:rsidR="0075426F" w:rsidRPr="00CC7898" w:rsidRDefault="0075426F" w:rsidP="0075426F">
      <w:pPr>
        <w:pStyle w:val="Presse-Fliesstext"/>
        <w:rPr>
          <w:lang w:val="fr-FR"/>
        </w:rPr>
      </w:pPr>
      <w:r w:rsidRPr="00CC7898">
        <w:rPr>
          <w:lang w:val="fr-FR"/>
        </w:rPr>
        <w:t xml:space="preserve">De plus amples informations sur les doseurs de haute précision de la marque preeflow sont disponibles sur : </w:t>
      </w:r>
      <w:hyperlink r:id="rId11" w:history="1">
        <w:r w:rsidR="00CC7898" w:rsidRPr="00CC7898">
          <w:rPr>
            <w:rStyle w:val="Hyperlink"/>
            <w:lang w:val="fr-FR"/>
          </w:rPr>
          <w:t>https://www.preeflow.com/fr/produits/</w:t>
        </w:r>
      </w:hyperlink>
    </w:p>
    <w:p w14:paraId="62540DCD" w14:textId="77777777" w:rsidR="007C7C9D" w:rsidRPr="00CC7898" w:rsidRDefault="007C7C9D" w:rsidP="0029423D">
      <w:pPr>
        <w:pStyle w:val="Fliesstext"/>
        <w:rPr>
          <w:lang w:val="fr-FR"/>
        </w:rPr>
      </w:pPr>
    </w:p>
    <w:p w14:paraId="61FF42F0" w14:textId="35189F82" w:rsidR="0029423D" w:rsidRPr="00CC7898" w:rsidRDefault="00695615" w:rsidP="0029423D">
      <w:pPr>
        <w:pStyle w:val="Fliesstext"/>
        <w:rPr>
          <w:lang w:val="fr-FR"/>
        </w:rPr>
      </w:pPr>
      <w:r>
        <w:rPr>
          <w:lang w:val="fr-FR"/>
        </w:rPr>
        <w:t>4.495</w:t>
      </w:r>
      <w:r w:rsidR="0029423D" w:rsidRPr="00CC7898">
        <w:rPr>
          <w:color w:val="FF0000"/>
          <w:lang w:val="fr-FR"/>
        </w:rPr>
        <w:t xml:space="preserve"> </w:t>
      </w:r>
      <w:r w:rsidR="00467930" w:rsidRPr="00CC7898">
        <w:rPr>
          <w:lang w:val="fr-FR"/>
        </w:rPr>
        <w:t>caractères, y compris les espaces. Réimpression gratuite. Copie sur demande.</w:t>
      </w:r>
    </w:p>
    <w:p w14:paraId="11CAA833" w14:textId="26A36999" w:rsidR="0049795F" w:rsidRPr="00CC7898" w:rsidRDefault="0049795F" w:rsidP="0029423D">
      <w:pPr>
        <w:pStyle w:val="Fliesstext"/>
        <w:rPr>
          <w:lang w:val="fr-FR"/>
        </w:rPr>
      </w:pPr>
    </w:p>
    <w:p w14:paraId="6616C77B" w14:textId="12EF9CAB" w:rsidR="0049795F" w:rsidRPr="00CC7898" w:rsidRDefault="0049795F" w:rsidP="0029423D">
      <w:pPr>
        <w:pStyle w:val="Fliesstext"/>
        <w:rPr>
          <w:lang w:val="fr-FR"/>
        </w:rPr>
      </w:pPr>
    </w:p>
    <w:p w14:paraId="0D59FD94" w14:textId="77777777" w:rsidR="0049795F" w:rsidRPr="00CC7898" w:rsidRDefault="0049795F" w:rsidP="0029423D">
      <w:pPr>
        <w:pStyle w:val="Fliesstext"/>
        <w:rPr>
          <w:lang w:val="fr-FR"/>
        </w:rPr>
      </w:pPr>
    </w:p>
    <w:p w14:paraId="18B7D55F" w14:textId="77777777" w:rsidR="0029423D" w:rsidRPr="00CC7898" w:rsidRDefault="0029423D" w:rsidP="0029423D">
      <w:pPr>
        <w:pStyle w:val="Fliesstext"/>
        <w:rPr>
          <w:lang w:val="fr-FR"/>
        </w:rPr>
      </w:pPr>
    </w:p>
    <w:p w14:paraId="7E353547" w14:textId="0DEE84DC" w:rsidR="0029423D" w:rsidRPr="00CC7898" w:rsidRDefault="00B55B64" w:rsidP="0029423D">
      <w:pPr>
        <w:pStyle w:val="Subheadline"/>
        <w:rPr>
          <w:lang w:val="fr-FR"/>
        </w:rPr>
      </w:pPr>
      <w:proofErr w:type="gramStart"/>
      <w:r w:rsidRPr="00CC7898">
        <w:rPr>
          <w:lang w:val="fr-FR"/>
        </w:rPr>
        <w:t>Photos</w:t>
      </w:r>
      <w:r w:rsidR="0029423D" w:rsidRPr="00CC7898">
        <w:rPr>
          <w:lang w:val="fr-FR"/>
        </w:rPr>
        <w:t>:</w:t>
      </w:r>
      <w:proofErr w:type="gramEnd"/>
    </w:p>
    <w:p w14:paraId="5A49E6B8" w14:textId="77777777" w:rsidR="0029423D" w:rsidRPr="00CC7898" w:rsidRDefault="0029423D" w:rsidP="0029423D">
      <w:pPr>
        <w:pStyle w:val="Subheadline"/>
        <w:rPr>
          <w:lang w:val="fr-FR"/>
        </w:rPr>
      </w:pPr>
    </w:p>
    <w:p w14:paraId="22DA8AE2" w14:textId="77777777" w:rsidR="00B10B35" w:rsidRDefault="00B10B35" w:rsidP="00B10B35">
      <w:pPr>
        <w:pStyle w:val="Bildunterschrift"/>
      </w:pPr>
      <w:r>
        <w:rPr>
          <w:noProof/>
        </w:rPr>
        <w:drawing>
          <wp:inline distT="0" distB="0" distL="0" distR="0" wp14:anchorId="20950D86" wp14:editId="11348342">
            <wp:extent cx="2121880" cy="1414352"/>
            <wp:effectExtent l="19050" t="19050" r="12065" b="146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21880" cy="1414352"/>
                    </a:xfrm>
                    <a:prstGeom prst="rect">
                      <a:avLst/>
                    </a:prstGeom>
                    <a:ln>
                      <a:solidFill>
                        <a:schemeClr val="accent1"/>
                      </a:solidFill>
                    </a:ln>
                  </pic:spPr>
                </pic:pic>
              </a:graphicData>
            </a:graphic>
          </wp:inline>
        </w:drawing>
      </w:r>
    </w:p>
    <w:p w14:paraId="0E73D07E" w14:textId="77777777" w:rsidR="00525F4A" w:rsidRPr="00CC7898" w:rsidRDefault="00525F4A" w:rsidP="00525F4A">
      <w:pPr>
        <w:rPr>
          <w:rFonts w:cs="Arial"/>
          <w:i/>
          <w:iCs/>
          <w:sz w:val="18"/>
          <w:szCs w:val="18"/>
          <w:lang w:val="fr-FR"/>
        </w:rPr>
      </w:pPr>
      <w:r w:rsidRPr="00CC7898">
        <w:rPr>
          <w:rFonts w:cs="Arial"/>
          <w:i/>
          <w:iCs/>
          <w:sz w:val="18"/>
          <w:szCs w:val="18"/>
          <w:lang w:val="fr-FR"/>
        </w:rPr>
        <w:t>Capteur numérique pour casque, qui est relié à l'oreille. Source : Adobe Stock</w:t>
      </w:r>
    </w:p>
    <w:p w14:paraId="141F777F" w14:textId="77777777" w:rsidR="00B10B35" w:rsidRDefault="00B10B35" w:rsidP="00B10B35">
      <w:pPr>
        <w:pStyle w:val="Bildunterschrift"/>
      </w:pPr>
    </w:p>
    <w:p w14:paraId="1637F664" w14:textId="77777777" w:rsidR="00B10B35" w:rsidRDefault="00B10B35" w:rsidP="00B10B35">
      <w:pPr>
        <w:pStyle w:val="Bildunterschrift"/>
      </w:pPr>
      <w:r>
        <w:rPr>
          <w:noProof/>
        </w:rPr>
        <w:drawing>
          <wp:inline distT="0" distB="0" distL="0" distR="0" wp14:anchorId="269C2995" wp14:editId="4FF41238">
            <wp:extent cx="2174405" cy="1590675"/>
            <wp:effectExtent l="19050" t="19050" r="165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83614" cy="1597412"/>
                    </a:xfrm>
                    <a:prstGeom prst="rect">
                      <a:avLst/>
                    </a:prstGeom>
                    <a:ln>
                      <a:solidFill>
                        <a:schemeClr val="accent1"/>
                      </a:solidFill>
                    </a:ln>
                  </pic:spPr>
                </pic:pic>
              </a:graphicData>
            </a:graphic>
          </wp:inline>
        </w:drawing>
      </w:r>
    </w:p>
    <w:p w14:paraId="7BF41717" w14:textId="77777777" w:rsidR="00B10B35" w:rsidRDefault="00B10B35" w:rsidP="00B10B35">
      <w:pPr>
        <w:pStyle w:val="Bildunterschrift"/>
      </w:pPr>
      <w:r>
        <w:t>preeflow eco-PEN330</w:t>
      </w:r>
    </w:p>
    <w:p w14:paraId="5E26D978" w14:textId="77777777" w:rsidR="00B10B35" w:rsidRDefault="00B10B35" w:rsidP="00B10B35">
      <w:pPr>
        <w:pStyle w:val="Bildunterschrift"/>
      </w:pPr>
    </w:p>
    <w:p w14:paraId="6AFB1EAE" w14:textId="77777777" w:rsidR="00915DA1" w:rsidRDefault="00915DA1" w:rsidP="00B10B35">
      <w:pPr>
        <w:pStyle w:val="Subheadline"/>
        <w:rPr>
          <w:lang w:val="en-US"/>
        </w:rPr>
      </w:pPr>
    </w:p>
    <w:p w14:paraId="0B3D6B96" w14:textId="77777777" w:rsidR="00915DA1" w:rsidRDefault="00915DA1" w:rsidP="00B10B35">
      <w:pPr>
        <w:pStyle w:val="Subheadline"/>
        <w:rPr>
          <w:lang w:val="en-US"/>
        </w:rPr>
      </w:pPr>
    </w:p>
    <w:p w14:paraId="1371C436" w14:textId="3ED4F811" w:rsidR="00B10B35" w:rsidRPr="00B10B35" w:rsidRDefault="00B10B35" w:rsidP="00B10B35">
      <w:pPr>
        <w:pStyle w:val="Subheadline"/>
        <w:rPr>
          <w:lang w:val="en-US"/>
        </w:rPr>
      </w:pPr>
      <w:r w:rsidRPr="00B10B35">
        <w:rPr>
          <w:lang w:val="en-US"/>
        </w:rPr>
        <w:t>Author:</w:t>
      </w:r>
    </w:p>
    <w:p w14:paraId="0E810983" w14:textId="77777777" w:rsidR="00B10B35" w:rsidRDefault="00B10B35" w:rsidP="00B10B35">
      <w:pPr>
        <w:pStyle w:val="Presse-Fliesstext"/>
      </w:pPr>
      <w:r>
        <w:rPr>
          <w:b/>
        </w:rPr>
        <w:t>Steffen Garbe</w:t>
      </w:r>
      <w:r>
        <w:t xml:space="preserve">, Business Development preeflow </w:t>
      </w:r>
    </w:p>
    <w:p w14:paraId="07569B6B" w14:textId="77777777" w:rsidR="00B10B35" w:rsidRPr="003E5BF3" w:rsidRDefault="00B10B35" w:rsidP="00B10B35">
      <w:pPr>
        <w:pStyle w:val="Bildunterschrift"/>
      </w:pPr>
      <w:r>
        <w:rPr>
          <w:noProof/>
        </w:rPr>
        <w:drawing>
          <wp:inline distT="0" distB="0" distL="0" distR="0" wp14:anchorId="616BC70F" wp14:editId="7EC066AF">
            <wp:extent cx="1752600" cy="1752600"/>
            <wp:effectExtent l="19050" t="19050" r="1905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solidFill>
                        <a:schemeClr val="accent1"/>
                      </a:solidFill>
                    </a:ln>
                  </pic:spPr>
                </pic:pic>
              </a:graphicData>
            </a:graphic>
          </wp:inline>
        </w:drawing>
      </w:r>
    </w:p>
    <w:p w14:paraId="6024F97B" w14:textId="38197BC2" w:rsidR="0029423D" w:rsidRPr="00CC7898" w:rsidRDefault="0029423D" w:rsidP="0029423D">
      <w:pPr>
        <w:pStyle w:val="StandardWeb"/>
        <w:spacing w:line="360" w:lineRule="auto"/>
        <w:ind w:right="1273"/>
        <w:rPr>
          <w:rFonts w:cs="Arial"/>
          <w:lang w:val="fr-FR"/>
        </w:rPr>
      </w:pPr>
    </w:p>
    <w:p w14:paraId="2F1AF507" w14:textId="1A6AF5BD" w:rsidR="0029423D" w:rsidRPr="00CC7898" w:rsidRDefault="0029423D" w:rsidP="0029423D">
      <w:pPr>
        <w:pStyle w:val="StandardWeb"/>
        <w:spacing w:line="360" w:lineRule="auto"/>
        <w:ind w:right="1273"/>
        <w:rPr>
          <w:rFonts w:cs="Arial"/>
          <w:i/>
          <w:sz w:val="18"/>
          <w:szCs w:val="18"/>
          <w:lang w:val="fr-FR"/>
        </w:rPr>
      </w:pPr>
    </w:p>
    <w:p w14:paraId="5A717D14" w14:textId="77777777" w:rsidR="00F72BB6" w:rsidRPr="00CC7898" w:rsidRDefault="00F72BB6" w:rsidP="00F72BB6">
      <w:pPr>
        <w:pStyle w:val="Subheadline"/>
        <w:rPr>
          <w:lang w:val="fr-FR"/>
        </w:rPr>
      </w:pPr>
      <w:r w:rsidRPr="00CC7898">
        <w:rPr>
          <w:lang w:val="fr-FR"/>
        </w:rPr>
        <w:t>ViscoTec – Le dosage à la perfection !</w:t>
      </w:r>
    </w:p>
    <w:p w14:paraId="4ED84733" w14:textId="77777777" w:rsidR="00582151" w:rsidRPr="00CC7898" w:rsidRDefault="00582151" w:rsidP="00582151">
      <w:pPr>
        <w:spacing w:line="360" w:lineRule="auto"/>
        <w:rPr>
          <w:rFonts w:cs="Arial"/>
          <w:b/>
          <w:lang w:val="fr-FR"/>
        </w:rPr>
      </w:pPr>
    </w:p>
    <w:p w14:paraId="5A304EAF" w14:textId="77777777" w:rsidR="00F074B2" w:rsidRPr="00CC7898" w:rsidRDefault="00F72BB6" w:rsidP="00582151">
      <w:pPr>
        <w:spacing w:line="360" w:lineRule="auto"/>
        <w:ind w:right="856"/>
        <w:rPr>
          <w:lang w:val="fr-FR"/>
        </w:rPr>
      </w:pPr>
      <w:r w:rsidRPr="00CC7898">
        <w:rPr>
          <w:lang w:val="fr-FR"/>
        </w:rPr>
        <w:t xml:space="preserve">ViscoTec </w:t>
      </w:r>
      <w:proofErr w:type="spellStart"/>
      <w:r w:rsidRPr="00CC7898">
        <w:rPr>
          <w:lang w:val="fr-FR"/>
        </w:rPr>
        <w:t>Pumpen</w:t>
      </w:r>
      <w:proofErr w:type="spellEnd"/>
      <w:r w:rsidRPr="00CC7898">
        <w:rPr>
          <w:lang w:val="fr-FR"/>
        </w:rPr>
        <w:t xml:space="preserve">- u. </w:t>
      </w:r>
      <w:proofErr w:type="spellStart"/>
      <w:r w:rsidRPr="00CC7898">
        <w:rPr>
          <w:lang w:val="fr-FR"/>
        </w:rPr>
        <w:t>Dosiertechnik</w:t>
      </w:r>
      <w:proofErr w:type="spellEnd"/>
      <w:r w:rsidRPr="00CC7898">
        <w:rPr>
          <w:lang w:val="fr-FR"/>
        </w:rPr>
        <w:t xml:space="preserve"> </w:t>
      </w:r>
      <w:proofErr w:type="spellStart"/>
      <w:r w:rsidRPr="00CC7898">
        <w:rPr>
          <w:lang w:val="fr-FR"/>
        </w:rPr>
        <w:t>GmbH</w:t>
      </w:r>
      <w:proofErr w:type="spellEnd"/>
      <w:r w:rsidRPr="00CC7898">
        <w:rPr>
          <w:lang w:val="fr-FR"/>
        </w:rPr>
        <w:t xml:space="preserve"> fabrique des systèmes nécessaires au pompage, au dosage, à l'application, au remplissage et au prélèvement de fluides de viscosité moyenne à </w:t>
      </w:r>
      <w:proofErr w:type="spellStart"/>
      <w:r w:rsidRPr="00CC7898">
        <w:rPr>
          <w:lang w:val="fr-FR"/>
        </w:rPr>
        <w:t>élevée</w:t>
      </w:r>
      <w:proofErr w:type="spellEnd"/>
      <w:r w:rsidRPr="00CC7898">
        <w:rPr>
          <w:lang w:val="fr-FR"/>
        </w:rPr>
        <w:t xml:space="preserve">. Le leader technologique a son siège à </w:t>
      </w:r>
      <w:proofErr w:type="spellStart"/>
      <w:r w:rsidRPr="00CC7898">
        <w:rPr>
          <w:lang w:val="fr-FR"/>
        </w:rPr>
        <w:t>Töging</w:t>
      </w:r>
      <w:proofErr w:type="spellEnd"/>
      <w:r w:rsidRPr="00CC7898">
        <w:rPr>
          <w:lang w:val="fr-FR"/>
        </w:rPr>
        <w:t xml:space="preserve"> a. Inn (en Bavière, près de Munich). ViscoTec possède également des filiales aux USA, en Chine, à Singapour</w:t>
      </w:r>
      <w:r w:rsidR="00D26901" w:rsidRPr="00CC7898">
        <w:rPr>
          <w:lang w:val="fr-FR"/>
        </w:rPr>
        <w:t>, en Inde</w:t>
      </w:r>
      <w:r w:rsidRPr="00CC7898">
        <w:rPr>
          <w:lang w:val="fr-FR"/>
        </w:rPr>
        <w:t xml:space="preserve"> et en </w:t>
      </w:r>
      <w:r w:rsidR="00D26901" w:rsidRPr="00CC7898">
        <w:rPr>
          <w:lang w:val="fr-FR"/>
        </w:rPr>
        <w:t>France</w:t>
      </w:r>
      <w:r w:rsidRPr="00CC7898">
        <w:rPr>
          <w:lang w:val="fr-FR"/>
        </w:rPr>
        <w:t xml:space="preserve"> et emploie environ 2</w:t>
      </w:r>
      <w:r w:rsidR="00C5066D" w:rsidRPr="00CC7898">
        <w:rPr>
          <w:lang w:val="fr-FR"/>
        </w:rPr>
        <w:t>6</w:t>
      </w:r>
      <w:r w:rsidRPr="00CC7898">
        <w:rPr>
          <w:lang w:val="fr-FR"/>
        </w:rPr>
        <w:t>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CC7898">
        <w:rPr>
          <w:lang w:val="fr-FR"/>
        </w:rPr>
        <w:t>mPas</w:t>
      </w:r>
      <w:proofErr w:type="spellEnd"/>
      <w:r w:rsidRPr="00CC7898">
        <w:rPr>
          <w:lang w:val="fr-FR"/>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aérospatiale, technologie médicale, industrie pharmaceutique et de nombreux autres secteurs</w:t>
      </w:r>
      <w:r w:rsidR="00F074B2" w:rsidRPr="00CC7898">
        <w:rPr>
          <w:lang w:val="fr-FR"/>
        </w:rPr>
        <w:t>.</w:t>
      </w:r>
    </w:p>
    <w:p w14:paraId="0A4783A4" w14:textId="77777777" w:rsidR="00F074B2" w:rsidRPr="00CC7898" w:rsidRDefault="00F074B2" w:rsidP="00582151">
      <w:pPr>
        <w:spacing w:line="360" w:lineRule="auto"/>
        <w:rPr>
          <w:rFonts w:cs="Arial"/>
          <w:lang w:val="fr-FR"/>
        </w:rPr>
      </w:pPr>
    </w:p>
    <w:p w14:paraId="7491EBEA" w14:textId="77777777" w:rsidR="00582151" w:rsidRPr="00CC7898" w:rsidRDefault="00582151" w:rsidP="00582151">
      <w:pPr>
        <w:spacing w:line="360" w:lineRule="auto"/>
        <w:rPr>
          <w:rFonts w:cs="Arial"/>
          <w:lang w:val="fr-FR"/>
        </w:rPr>
      </w:pPr>
    </w:p>
    <w:p w14:paraId="1D1458D6" w14:textId="77777777" w:rsidR="00F074B2" w:rsidRPr="00CC7898" w:rsidRDefault="00F074B2" w:rsidP="00582151">
      <w:pPr>
        <w:spacing w:line="360" w:lineRule="auto"/>
        <w:ind w:right="1273"/>
        <w:rPr>
          <w:rFonts w:cs="Arial"/>
          <w:lang w:val="fr-FR"/>
        </w:rPr>
      </w:pPr>
    </w:p>
    <w:p w14:paraId="30A0C1B7" w14:textId="77777777" w:rsidR="00F074B2" w:rsidRPr="00CC7898" w:rsidRDefault="00F72BB6" w:rsidP="004F5C6C">
      <w:pPr>
        <w:pStyle w:val="Untertitel"/>
        <w:rPr>
          <w:lang w:val="fr-FR"/>
        </w:rPr>
      </w:pPr>
      <w:r w:rsidRPr="00CC7898">
        <w:rPr>
          <w:lang w:val="fr-FR"/>
        </w:rPr>
        <w:t>C</w:t>
      </w:r>
      <w:r w:rsidR="00B82931" w:rsidRPr="00CC7898">
        <w:rPr>
          <w:lang w:val="fr-FR"/>
        </w:rPr>
        <w:t>ontact</w:t>
      </w:r>
      <w:r w:rsidRPr="00CC7898">
        <w:rPr>
          <w:lang w:val="fr-FR"/>
        </w:rPr>
        <w:t xml:space="preserve"> </w:t>
      </w:r>
      <w:proofErr w:type="gramStart"/>
      <w:r w:rsidRPr="00CC7898">
        <w:rPr>
          <w:lang w:val="fr-FR"/>
        </w:rPr>
        <w:t>presse</w:t>
      </w:r>
      <w:r w:rsidR="00F074B2" w:rsidRPr="00CC7898">
        <w:rPr>
          <w:lang w:val="fr-FR"/>
        </w:rPr>
        <w:t>:</w:t>
      </w:r>
      <w:proofErr w:type="gramEnd"/>
    </w:p>
    <w:p w14:paraId="22345742" w14:textId="77777777" w:rsidR="00F074B2" w:rsidRPr="00CC7898" w:rsidRDefault="00846A7D" w:rsidP="00582151">
      <w:pPr>
        <w:spacing w:line="360" w:lineRule="auto"/>
        <w:ind w:right="1273"/>
        <w:rPr>
          <w:rFonts w:cs="Arial"/>
          <w:lang w:val="fr-FR"/>
        </w:rPr>
      </w:pPr>
      <w:r w:rsidRPr="00CC7898">
        <w:rPr>
          <w:rFonts w:cs="Arial"/>
          <w:lang w:val="fr-FR"/>
        </w:rPr>
        <w:t>Melanie Hintereder</w:t>
      </w:r>
      <w:r w:rsidR="00F074B2" w:rsidRPr="00CC7898">
        <w:rPr>
          <w:rFonts w:cs="Arial"/>
          <w:lang w:val="fr-FR"/>
        </w:rPr>
        <w:t>, Marketing</w:t>
      </w:r>
    </w:p>
    <w:p w14:paraId="4D044748" w14:textId="77777777" w:rsidR="00B82931" w:rsidRPr="00CC7898" w:rsidRDefault="00F72BB6" w:rsidP="00582151">
      <w:pPr>
        <w:spacing w:line="360" w:lineRule="auto"/>
        <w:ind w:right="1273"/>
        <w:rPr>
          <w:rFonts w:cs="Arial"/>
          <w:lang w:val="fr-FR"/>
        </w:rPr>
      </w:pPr>
      <w:proofErr w:type="gramStart"/>
      <w:r w:rsidRPr="00CC7898">
        <w:rPr>
          <w:rFonts w:cs="Arial"/>
          <w:lang w:val="fr-FR"/>
        </w:rPr>
        <w:t>Tel</w:t>
      </w:r>
      <w:r w:rsidR="00B82931" w:rsidRPr="00CC7898">
        <w:rPr>
          <w:rFonts w:cs="Arial"/>
          <w:lang w:val="fr-FR"/>
        </w:rPr>
        <w:t>:</w:t>
      </w:r>
      <w:proofErr w:type="gramEnd"/>
      <w:r w:rsidR="00B82931" w:rsidRPr="00CC7898">
        <w:rPr>
          <w:rFonts w:cs="Arial"/>
          <w:lang w:val="fr-FR"/>
        </w:rPr>
        <w:t xml:space="preserve"> +49 8631 9274-4</w:t>
      </w:r>
      <w:r w:rsidR="00846A7D" w:rsidRPr="00CC7898">
        <w:rPr>
          <w:rFonts w:cs="Arial"/>
          <w:lang w:val="fr-FR"/>
        </w:rPr>
        <w:t>04</w:t>
      </w:r>
      <w:r w:rsidR="00B82931" w:rsidRPr="00CC7898">
        <w:rPr>
          <w:rFonts w:cs="Arial"/>
          <w:lang w:val="fr-FR"/>
        </w:rPr>
        <w:t xml:space="preserve"> </w:t>
      </w:r>
    </w:p>
    <w:p w14:paraId="382F79DC" w14:textId="77777777" w:rsidR="00B82931" w:rsidRPr="00CC7898" w:rsidRDefault="00846A7D" w:rsidP="00582151">
      <w:pPr>
        <w:spacing w:line="360" w:lineRule="auto"/>
        <w:ind w:right="1273"/>
        <w:rPr>
          <w:rFonts w:cs="Arial"/>
          <w:lang w:val="fr-FR"/>
        </w:rPr>
      </w:pPr>
      <w:r w:rsidRPr="00CC7898">
        <w:rPr>
          <w:rFonts w:cs="Arial"/>
          <w:lang w:val="fr-FR"/>
        </w:rPr>
        <w:t>melanie.hintereder</w:t>
      </w:r>
      <w:r w:rsidR="00B82931" w:rsidRPr="00CC7898">
        <w:rPr>
          <w:rFonts w:cs="Arial"/>
          <w:lang w:val="fr-FR"/>
        </w:rPr>
        <w:t xml:space="preserve">@viscotec.de </w:t>
      </w:r>
    </w:p>
    <w:p w14:paraId="1062CB8F" w14:textId="77777777" w:rsidR="00B82931" w:rsidRPr="00CC7898" w:rsidRDefault="00B82931" w:rsidP="00B82931">
      <w:pPr>
        <w:spacing w:line="360" w:lineRule="auto"/>
        <w:ind w:right="1273"/>
        <w:rPr>
          <w:rFonts w:cs="Arial"/>
          <w:lang w:val="fr-FR"/>
        </w:rPr>
      </w:pPr>
    </w:p>
    <w:p w14:paraId="3927F03C" w14:textId="77777777" w:rsidR="00B82931" w:rsidRPr="00CC7898" w:rsidRDefault="00B82931" w:rsidP="00B82931">
      <w:pPr>
        <w:spacing w:line="360" w:lineRule="auto"/>
        <w:ind w:right="1273"/>
        <w:rPr>
          <w:rFonts w:cs="Arial"/>
          <w:lang w:val="fr-FR"/>
        </w:rPr>
      </w:pPr>
    </w:p>
    <w:p w14:paraId="4C380BFB" w14:textId="248AF4C1" w:rsidR="00B82931" w:rsidRPr="00CC7898" w:rsidRDefault="00B82931" w:rsidP="00B82931">
      <w:pPr>
        <w:rPr>
          <w:rFonts w:cs="Arial"/>
          <w:lang w:val="fr-FR"/>
        </w:rPr>
      </w:pPr>
      <w:r w:rsidRPr="00CC7898">
        <w:rPr>
          <w:rStyle w:val="Fett"/>
          <w:lang w:val="fr-FR"/>
        </w:rPr>
        <w:t xml:space="preserve">ViscoTec </w:t>
      </w:r>
      <w:proofErr w:type="spellStart"/>
      <w:r w:rsidRPr="00CC7898">
        <w:rPr>
          <w:rStyle w:val="Fett"/>
          <w:lang w:val="fr-FR"/>
        </w:rPr>
        <w:t>Pumpen</w:t>
      </w:r>
      <w:proofErr w:type="spellEnd"/>
      <w:r w:rsidRPr="00CC7898">
        <w:rPr>
          <w:rStyle w:val="Fett"/>
          <w:lang w:val="fr-FR"/>
        </w:rPr>
        <w:t xml:space="preserve">- u. </w:t>
      </w:r>
      <w:proofErr w:type="spellStart"/>
      <w:r w:rsidRPr="00CC7898">
        <w:rPr>
          <w:rStyle w:val="Fett"/>
          <w:lang w:val="fr-FR"/>
        </w:rPr>
        <w:t>Dosiertechnik</w:t>
      </w:r>
      <w:proofErr w:type="spellEnd"/>
      <w:r w:rsidRPr="00CC7898">
        <w:rPr>
          <w:rStyle w:val="Fett"/>
          <w:lang w:val="fr-FR"/>
        </w:rPr>
        <w:t xml:space="preserve"> </w:t>
      </w:r>
      <w:proofErr w:type="spellStart"/>
      <w:r w:rsidRPr="00CC7898">
        <w:rPr>
          <w:rStyle w:val="Fett"/>
          <w:lang w:val="fr-FR"/>
        </w:rPr>
        <w:t>GmbH</w:t>
      </w:r>
      <w:proofErr w:type="spellEnd"/>
      <w:r w:rsidRPr="00CC7898">
        <w:rPr>
          <w:b/>
          <w:bCs/>
          <w:lang w:val="fr-FR"/>
        </w:rPr>
        <w:br/>
      </w:r>
      <w:proofErr w:type="spellStart"/>
      <w:r w:rsidRPr="00CC7898">
        <w:rPr>
          <w:lang w:val="fr-FR"/>
        </w:rPr>
        <w:t>Amperstraße</w:t>
      </w:r>
      <w:proofErr w:type="spellEnd"/>
      <w:r w:rsidRPr="00CC7898">
        <w:rPr>
          <w:lang w:val="fr-FR"/>
        </w:rPr>
        <w:t xml:space="preserve"> 13 | 84513 </w:t>
      </w:r>
      <w:proofErr w:type="spellStart"/>
      <w:r w:rsidRPr="00CC7898">
        <w:rPr>
          <w:lang w:val="fr-FR"/>
        </w:rPr>
        <w:t>Töging</w:t>
      </w:r>
      <w:proofErr w:type="spellEnd"/>
      <w:r w:rsidRPr="00CC7898">
        <w:rPr>
          <w:lang w:val="fr-FR"/>
        </w:rPr>
        <w:t xml:space="preserve"> a. Inn | Germany</w:t>
      </w:r>
      <w:r w:rsidRPr="00CC7898">
        <w:rPr>
          <w:lang w:val="fr-FR"/>
        </w:rPr>
        <w:br/>
      </w:r>
      <w:hyperlink r:id="rId15" w:history="1">
        <w:r w:rsidR="005367E6" w:rsidRPr="00CC7898">
          <w:rPr>
            <w:rFonts w:cs="Arial"/>
            <w:lang w:val="fr-FR"/>
          </w:rPr>
          <w:t>www.viscotec.de</w:t>
        </w:r>
      </w:hyperlink>
    </w:p>
    <w:p w14:paraId="0530575B" w14:textId="3E5A07A8" w:rsidR="005367E6" w:rsidRPr="00CC7898" w:rsidRDefault="005367E6" w:rsidP="00B82931">
      <w:pPr>
        <w:rPr>
          <w:lang w:val="fr-FR"/>
        </w:rPr>
      </w:pPr>
    </w:p>
    <w:p w14:paraId="1EE47F37" w14:textId="44E0B930" w:rsidR="005367E6" w:rsidRPr="00CC7898" w:rsidRDefault="005367E6" w:rsidP="005367E6">
      <w:pPr>
        <w:pStyle w:val="Fliesstext"/>
        <w:rPr>
          <w:lang w:val="fr-FR"/>
        </w:rPr>
      </w:pPr>
      <w:r w:rsidRPr="00CC7898">
        <w:rPr>
          <w:rStyle w:val="Fett"/>
          <w:lang w:val="fr-FR"/>
        </w:rPr>
        <w:t>ViscoTec France SASU</w:t>
      </w:r>
      <w:r w:rsidRPr="00CC7898">
        <w:rPr>
          <w:lang w:val="fr-FR"/>
        </w:rPr>
        <w:br/>
        <w:t>5 Avenue Henri Becquerel, Parc Activité Kennedy | 33700 Mérignac | France</w:t>
      </w:r>
      <w:r w:rsidRPr="00CC7898">
        <w:rPr>
          <w:lang w:val="fr-FR"/>
        </w:rPr>
        <w:br/>
        <w:t>www.viscotec.fr</w:t>
      </w:r>
    </w:p>
    <w:p w14:paraId="1D308263" w14:textId="77777777" w:rsidR="00B82931" w:rsidRPr="00CC7898" w:rsidRDefault="00B82931" w:rsidP="00B82931">
      <w:pPr>
        <w:rPr>
          <w:rFonts w:cs="Arial"/>
          <w:b/>
          <w:bCs/>
          <w:lang w:val="fr-FR"/>
        </w:rPr>
      </w:pPr>
    </w:p>
    <w:p w14:paraId="6906E083" w14:textId="77777777" w:rsidR="00B82931" w:rsidRPr="00CC7898" w:rsidRDefault="00B82931" w:rsidP="00B82931">
      <w:pPr>
        <w:rPr>
          <w:rFonts w:cs="Arial"/>
          <w:lang w:val="fr-FR"/>
        </w:rPr>
      </w:pPr>
      <w:r w:rsidRPr="00CC7898">
        <w:rPr>
          <w:rStyle w:val="Fett"/>
          <w:lang w:val="fr-FR"/>
        </w:rPr>
        <w:t>ViscoTec America Inc.</w:t>
      </w:r>
      <w:r w:rsidRPr="00CC7898">
        <w:rPr>
          <w:b/>
          <w:bCs/>
          <w:lang w:val="fr-FR"/>
        </w:rPr>
        <w:br/>
      </w:r>
      <w:r w:rsidRPr="00CC7898">
        <w:rPr>
          <w:lang w:val="fr-FR"/>
        </w:rPr>
        <w:t xml:space="preserve">1955 Vaughn Road, Suite 209 | </w:t>
      </w:r>
      <w:proofErr w:type="spellStart"/>
      <w:r w:rsidRPr="00CC7898">
        <w:rPr>
          <w:lang w:val="fr-FR"/>
        </w:rPr>
        <w:t>Kennesaw</w:t>
      </w:r>
      <w:proofErr w:type="spellEnd"/>
      <w:r w:rsidRPr="00CC7898">
        <w:rPr>
          <w:lang w:val="fr-FR"/>
        </w:rPr>
        <w:t>, GA 30144 | USA</w:t>
      </w:r>
      <w:r w:rsidRPr="00CC7898">
        <w:rPr>
          <w:lang w:val="fr-FR"/>
        </w:rPr>
        <w:br/>
        <w:t>www.viscotec-america.com</w:t>
      </w:r>
    </w:p>
    <w:p w14:paraId="47DFE58B" w14:textId="77777777" w:rsidR="00B82931" w:rsidRPr="00CC7898" w:rsidRDefault="00B82931" w:rsidP="00B82931">
      <w:pPr>
        <w:rPr>
          <w:rFonts w:cs="Arial"/>
          <w:lang w:val="fr-FR"/>
        </w:rPr>
      </w:pPr>
    </w:p>
    <w:p w14:paraId="7375EB2C" w14:textId="77777777" w:rsidR="00C5066D" w:rsidRPr="00CC7898" w:rsidRDefault="00C5066D" w:rsidP="00C5066D">
      <w:pPr>
        <w:pStyle w:val="Fliesstext"/>
        <w:rPr>
          <w:lang w:val="fr-FR"/>
        </w:rPr>
      </w:pPr>
      <w:r w:rsidRPr="00CC7898">
        <w:rPr>
          <w:rStyle w:val="Fett"/>
          <w:lang w:val="fr-FR"/>
        </w:rPr>
        <w:t xml:space="preserve">ViscoTec Asia </w:t>
      </w:r>
      <w:proofErr w:type="spellStart"/>
      <w:r w:rsidRPr="00CC7898">
        <w:rPr>
          <w:rStyle w:val="Fett"/>
          <w:lang w:val="fr-FR"/>
        </w:rPr>
        <w:t>Pte</w:t>
      </w:r>
      <w:proofErr w:type="spellEnd"/>
      <w:r w:rsidRPr="00CC7898">
        <w:rPr>
          <w:rStyle w:val="Fett"/>
          <w:lang w:val="fr-FR"/>
        </w:rPr>
        <w:t xml:space="preserve"> Ltd</w:t>
      </w:r>
      <w:r w:rsidRPr="00CC7898">
        <w:rPr>
          <w:b/>
          <w:bCs/>
          <w:lang w:val="fr-FR"/>
        </w:rPr>
        <w:br/>
      </w:r>
      <w:r w:rsidRPr="00CC7898">
        <w:rPr>
          <w:lang w:val="fr-FR"/>
        </w:rPr>
        <w:t xml:space="preserve">7 Gambas Crescent | #09-38, </w:t>
      </w:r>
      <w:proofErr w:type="spellStart"/>
      <w:r w:rsidRPr="00CC7898">
        <w:rPr>
          <w:lang w:val="fr-FR"/>
        </w:rPr>
        <w:t>Ark</w:t>
      </w:r>
      <w:proofErr w:type="spellEnd"/>
      <w:r w:rsidRPr="00CC7898">
        <w:rPr>
          <w:lang w:val="fr-FR"/>
        </w:rPr>
        <w:t xml:space="preserve"> @ Gambas | Singapore 757087 | Singapore</w:t>
      </w:r>
      <w:r w:rsidRPr="00CC7898">
        <w:rPr>
          <w:lang w:val="fr-FR"/>
        </w:rPr>
        <w:br/>
        <w:t>www.viscotec-asia.com</w:t>
      </w:r>
    </w:p>
    <w:p w14:paraId="0DCBE37C" w14:textId="77777777" w:rsidR="00B82931" w:rsidRPr="00CC7898" w:rsidRDefault="00B82931" w:rsidP="00B82931">
      <w:pPr>
        <w:rPr>
          <w:rFonts w:cs="Arial"/>
          <w:lang w:val="fr-FR"/>
        </w:rPr>
      </w:pPr>
    </w:p>
    <w:p w14:paraId="61E2C01F" w14:textId="77777777" w:rsidR="00B82931" w:rsidRPr="00CC7898" w:rsidRDefault="00B82931" w:rsidP="00B82931">
      <w:pPr>
        <w:rPr>
          <w:lang w:val="fr-FR"/>
        </w:rPr>
      </w:pPr>
      <w:r w:rsidRPr="00CC7898">
        <w:rPr>
          <w:rStyle w:val="Fett"/>
          <w:lang w:val="fr-FR"/>
        </w:rPr>
        <w:t xml:space="preserve">ViscoTec Shanghai Ltd. / </w:t>
      </w:r>
      <w:proofErr w:type="spellStart"/>
      <w:r w:rsidRPr="00CC7898">
        <w:rPr>
          <w:rStyle w:val="Fett"/>
          <w:lang w:val="fr-FR"/>
        </w:rPr>
        <w:t>Greater</w:t>
      </w:r>
      <w:proofErr w:type="spellEnd"/>
      <w:r w:rsidRPr="00CC7898">
        <w:rPr>
          <w:rStyle w:val="Fett"/>
          <w:lang w:val="fr-FR"/>
        </w:rPr>
        <w:t xml:space="preserve"> China</w:t>
      </w:r>
      <w:r w:rsidRPr="00CC7898">
        <w:rPr>
          <w:b/>
          <w:bCs/>
          <w:lang w:val="fr-FR"/>
        </w:rPr>
        <w:br/>
      </w:r>
      <w:r w:rsidR="00E02620" w:rsidRPr="00CC7898">
        <w:rPr>
          <w:lang w:val="fr-FR"/>
        </w:rPr>
        <w:t>1/F, BLK 18, City of Elite | No. 1000 Jin Hai Road, Pudong</w:t>
      </w:r>
      <w:r w:rsidR="00E02620" w:rsidRPr="00CC7898">
        <w:rPr>
          <w:lang w:val="fr-FR"/>
        </w:rPr>
        <w:br/>
        <w:t>Shanghai, 201206 | P.R. China</w:t>
      </w:r>
      <w:r w:rsidRPr="00CC7898">
        <w:rPr>
          <w:lang w:val="fr-FR"/>
        </w:rPr>
        <w:br/>
        <w:t>www.viscotec.com.cn</w:t>
      </w:r>
    </w:p>
    <w:p w14:paraId="52F14851" w14:textId="77777777" w:rsidR="00B82931" w:rsidRPr="00CC7898" w:rsidRDefault="00B82931" w:rsidP="00B82931">
      <w:pPr>
        <w:rPr>
          <w:lang w:val="fr-FR"/>
        </w:rPr>
      </w:pPr>
    </w:p>
    <w:p w14:paraId="0D702A37" w14:textId="77777777" w:rsidR="00F074B2" w:rsidRPr="00CC7898" w:rsidRDefault="00B82931" w:rsidP="00A82FFA">
      <w:pPr>
        <w:rPr>
          <w:lang w:val="fr-FR"/>
        </w:rPr>
      </w:pPr>
      <w:r w:rsidRPr="00CC7898">
        <w:rPr>
          <w:rStyle w:val="Fett"/>
          <w:lang w:val="fr-FR"/>
        </w:rPr>
        <w:t xml:space="preserve">ViscoTec </w:t>
      </w:r>
      <w:proofErr w:type="spellStart"/>
      <w:r w:rsidRPr="00CC7898">
        <w:rPr>
          <w:rStyle w:val="Fett"/>
          <w:lang w:val="fr-FR"/>
        </w:rPr>
        <w:t>India</w:t>
      </w:r>
      <w:proofErr w:type="spellEnd"/>
      <w:r w:rsidRPr="00CC7898">
        <w:rPr>
          <w:rStyle w:val="Fett"/>
          <w:lang w:val="fr-FR"/>
        </w:rPr>
        <w:t xml:space="preserve"> </w:t>
      </w:r>
      <w:proofErr w:type="spellStart"/>
      <w:r w:rsidRPr="00CC7898">
        <w:rPr>
          <w:rStyle w:val="Fett"/>
          <w:lang w:val="fr-FR"/>
        </w:rPr>
        <w:t>Pvt</w:t>
      </w:r>
      <w:proofErr w:type="spellEnd"/>
      <w:r w:rsidRPr="00CC7898">
        <w:rPr>
          <w:rStyle w:val="Fett"/>
          <w:lang w:val="fr-FR"/>
        </w:rPr>
        <w:t>. Ltd.</w:t>
      </w:r>
      <w:r w:rsidRPr="00CC7898">
        <w:rPr>
          <w:lang w:val="fr-FR"/>
        </w:rPr>
        <w:br/>
        <w:t>710 Nucleus Mall, 1 Church Road Pune | Pune 411001 | India</w:t>
      </w:r>
      <w:r w:rsidRPr="00CC7898">
        <w:rPr>
          <w:lang w:val="fr-FR"/>
        </w:rPr>
        <w:br/>
      </w:r>
      <w:r w:rsidR="0051249B" w:rsidRPr="00CC7898">
        <w:rPr>
          <w:lang w:val="fr-FR"/>
        </w:rPr>
        <w:t>www.viscotec-india.com</w:t>
      </w:r>
    </w:p>
    <w:p w14:paraId="23102AD7" w14:textId="77777777" w:rsidR="0051249B" w:rsidRPr="00CC7898" w:rsidRDefault="0051249B" w:rsidP="00A82FFA">
      <w:pPr>
        <w:rPr>
          <w:lang w:val="fr-FR"/>
        </w:rPr>
      </w:pPr>
    </w:p>
    <w:p w14:paraId="7733C34F" w14:textId="77777777" w:rsidR="0051249B" w:rsidRPr="00CC7898" w:rsidRDefault="0051249B" w:rsidP="00A82FFA">
      <w:pPr>
        <w:rPr>
          <w:lang w:val="fr-FR"/>
        </w:rPr>
      </w:pPr>
    </w:p>
    <w:sectPr w:rsidR="0051249B" w:rsidRPr="00CC7898"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381D0" w14:textId="77777777" w:rsidR="009649CA" w:rsidRDefault="009649CA">
      <w:r>
        <w:separator/>
      </w:r>
    </w:p>
  </w:endnote>
  <w:endnote w:type="continuationSeparator" w:id="0">
    <w:p w14:paraId="4CD00913" w14:textId="77777777" w:rsidR="009649CA" w:rsidRDefault="00964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D84AD" w14:textId="77777777" w:rsidR="00551F5B" w:rsidRDefault="00551F5B">
    <w:pPr>
      <w:pStyle w:val="Fuzeile"/>
    </w:pPr>
  </w:p>
  <w:p w14:paraId="0F37B884" w14:textId="77777777" w:rsidR="00551F5B" w:rsidRDefault="00551F5B"/>
  <w:p w14:paraId="67AE675C" w14:textId="77777777" w:rsidR="00551F5B" w:rsidRDefault="00551F5B"/>
  <w:p w14:paraId="28C0123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822AF" w14:textId="77777777" w:rsidR="003976F5" w:rsidRDefault="003976F5" w:rsidP="003976F5">
    <w:pPr>
      <w:tabs>
        <w:tab w:val="left" w:pos="3261"/>
      </w:tabs>
      <w:rPr>
        <w:rFonts w:cs="Arial"/>
        <w:noProof/>
        <w:sz w:val="14"/>
        <w:szCs w:val="14"/>
      </w:rPr>
    </w:pPr>
  </w:p>
  <w:p w14:paraId="411775CE"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109103E" wp14:editId="13C1014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2E53DC"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C0F3EB2" w14:textId="77777777" w:rsidR="00B266CD" w:rsidRDefault="00B266CD" w:rsidP="003976F5">
    <w:pPr>
      <w:tabs>
        <w:tab w:val="left" w:pos="3261"/>
      </w:tabs>
      <w:rPr>
        <w:rFonts w:cs="Arial"/>
        <w:noProof/>
        <w:sz w:val="14"/>
        <w:szCs w:val="14"/>
      </w:rPr>
    </w:pPr>
  </w:p>
  <w:p w14:paraId="2FE50ADB" w14:textId="77777777" w:rsidR="00B266CD" w:rsidRPr="0029423D" w:rsidRDefault="00B82931" w:rsidP="00B266CD">
    <w:pPr>
      <w:tabs>
        <w:tab w:val="left" w:pos="450"/>
        <w:tab w:val="left" w:pos="3261"/>
        <w:tab w:val="left" w:pos="5954"/>
        <w:tab w:val="left" w:pos="8789"/>
      </w:tabs>
      <w:rPr>
        <w:rFonts w:cs="Arial"/>
        <w:noProof/>
        <w:sz w:val="14"/>
        <w:szCs w:val="14"/>
        <w:lang w:val="de-DE"/>
      </w:rPr>
    </w:pPr>
    <w:r w:rsidRPr="0029423D">
      <w:rPr>
        <w:rFonts w:cs="Arial"/>
        <w:noProof/>
        <w:sz w:val="14"/>
        <w:szCs w:val="14"/>
        <w:lang w:val="de-DE"/>
      </w:rPr>
      <w:t>Status</w:t>
    </w:r>
    <w:r w:rsidR="00B266CD" w:rsidRPr="0029423D">
      <w:rPr>
        <w:rFonts w:cs="Arial"/>
        <w:noProof/>
        <w:sz w:val="14"/>
        <w:szCs w:val="14"/>
        <w:lang w:val="de-DE"/>
      </w:rPr>
      <w:t>:</w:t>
    </w:r>
    <w:r w:rsidR="00A82FFA" w:rsidRPr="0029423D">
      <w:rPr>
        <w:rFonts w:cs="Arial"/>
        <w:noProof/>
        <w:sz w:val="14"/>
        <w:szCs w:val="14"/>
        <w:lang w:val="de-DE"/>
      </w:rPr>
      <w:t xml:space="preserve"> 0</w:t>
    </w:r>
    <w:r w:rsidR="00883BAB" w:rsidRPr="0029423D">
      <w:rPr>
        <w:rFonts w:cs="Arial"/>
        <w:noProof/>
        <w:sz w:val="14"/>
        <w:szCs w:val="14"/>
        <w:lang w:val="de-DE"/>
      </w:rPr>
      <w:t>8</w:t>
    </w:r>
    <w:r w:rsidR="00A82FFA" w:rsidRPr="0029423D">
      <w:rPr>
        <w:rFonts w:cs="Arial"/>
        <w:noProof/>
        <w:sz w:val="14"/>
        <w:szCs w:val="14"/>
        <w:lang w:val="de-DE"/>
      </w:rPr>
      <w:t>.0</w:t>
    </w:r>
    <w:r w:rsidR="00883BAB" w:rsidRPr="0029423D">
      <w:rPr>
        <w:rFonts w:cs="Arial"/>
        <w:noProof/>
        <w:sz w:val="14"/>
        <w:szCs w:val="14"/>
        <w:lang w:val="de-DE"/>
      </w:rPr>
      <w:t>1</w:t>
    </w:r>
    <w:r w:rsidR="00A82FFA" w:rsidRPr="0029423D">
      <w:rPr>
        <w:rFonts w:cs="Arial"/>
        <w:noProof/>
        <w:sz w:val="14"/>
        <w:szCs w:val="14"/>
        <w:lang w:val="de-DE"/>
      </w:rPr>
      <w:t>.20</w:t>
    </w:r>
    <w:r w:rsidR="00883BAB" w:rsidRPr="0029423D">
      <w:rPr>
        <w:rFonts w:cs="Arial"/>
        <w:noProof/>
        <w:sz w:val="14"/>
        <w:szCs w:val="14"/>
        <w:lang w:val="de-DE"/>
      </w:rPr>
      <w:t>20</w:t>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00DE4562"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6A188190"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492F5DA9"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3928F45C" w14:textId="77777777" w:rsidR="004B3830" w:rsidRPr="00F72BB6" w:rsidRDefault="004B3830" w:rsidP="00DB594E">
    <w:pPr>
      <w:tabs>
        <w:tab w:val="left" w:pos="3261"/>
      </w:tabs>
      <w:rPr>
        <w:rFonts w:cs="Arial"/>
        <w:noProof/>
        <w:color w:val="7F7F7F"/>
        <w:sz w:val="16"/>
        <w:szCs w:val="16"/>
        <w:lang w:val="de-DE"/>
      </w:rPr>
    </w:pPr>
  </w:p>
  <w:p w14:paraId="733350B3"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E4F54" w14:textId="77777777" w:rsidR="009649CA" w:rsidRDefault="009649CA">
      <w:r>
        <w:separator/>
      </w:r>
    </w:p>
  </w:footnote>
  <w:footnote w:type="continuationSeparator" w:id="0">
    <w:p w14:paraId="58E77686" w14:textId="77777777" w:rsidR="009649CA" w:rsidRDefault="00964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AC900" w14:textId="77777777" w:rsidR="00446370" w:rsidRDefault="00446370">
    <w:pPr>
      <w:rPr>
        <w:rFonts w:cs="Arial"/>
        <w:sz w:val="16"/>
        <w:szCs w:val="16"/>
      </w:rPr>
    </w:pPr>
  </w:p>
  <w:p w14:paraId="7951BF4B" w14:textId="77777777" w:rsidR="00446370" w:rsidRDefault="00446370">
    <w:pPr>
      <w:rPr>
        <w:rFonts w:cs="Arial"/>
        <w:sz w:val="16"/>
        <w:szCs w:val="16"/>
      </w:rPr>
    </w:pPr>
  </w:p>
  <w:p w14:paraId="28947197" w14:textId="2779F58B" w:rsidR="004B3830" w:rsidRPr="00446370" w:rsidRDefault="00446370" w:rsidP="00446370">
    <w:pPr>
      <w:pStyle w:val="Titel"/>
      <w:rPr>
        <w:color w:val="009DE0" w:themeColor="accent1"/>
        <w:lang w:val="fr-FR"/>
      </w:rPr>
    </w:pPr>
    <w:r w:rsidRPr="00446370">
      <w:rPr>
        <w:color w:val="009DE0" w:themeColor="accent1"/>
        <w:lang w:val="fr-FR"/>
      </w:rPr>
      <w:t>Communiqué de presse</w:t>
    </w:r>
    <w:r w:rsidR="002145DD" w:rsidRPr="00446370">
      <w:rPr>
        <w:rFonts w:cs="Arial"/>
        <w:noProof/>
        <w:color w:val="009DE0" w:themeColor="accent1"/>
        <w:sz w:val="16"/>
        <w:szCs w:val="16"/>
      </w:rPr>
      <w:drawing>
        <wp:anchor distT="0" distB="0" distL="114300" distR="114300" simplePos="0" relativeHeight="251660288" behindDoc="1" locked="1" layoutInCell="1" allowOverlap="1" wp14:anchorId="25A27176" wp14:editId="63E771E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D67CD4" w14:textId="601C45CF" w:rsidR="00DB594E" w:rsidRDefault="00DB594E">
    <w:pPr>
      <w:rPr>
        <w:rFonts w:cs="Arial"/>
        <w:sz w:val="16"/>
        <w:szCs w:val="16"/>
      </w:rPr>
    </w:pPr>
  </w:p>
  <w:p w14:paraId="37AF02C5" w14:textId="77777777" w:rsidR="00446370" w:rsidRDefault="00446370">
    <w:pPr>
      <w:rPr>
        <w:rFonts w:cs="Arial"/>
        <w:sz w:val="16"/>
        <w:szCs w:val="16"/>
      </w:rPr>
    </w:pPr>
  </w:p>
  <w:p w14:paraId="7C7FBC16"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3006E0"/>
    <w:multiLevelType w:val="hybridMultilevel"/>
    <w:tmpl w:val="CB1463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0E3650"/>
    <w:multiLevelType w:val="hybridMultilevel"/>
    <w:tmpl w:val="CB2AADBE"/>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3"/>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23D"/>
    <w:rsid w:val="000023E1"/>
    <w:rsid w:val="0000359E"/>
    <w:rsid w:val="00012C68"/>
    <w:rsid w:val="00036722"/>
    <w:rsid w:val="00037041"/>
    <w:rsid w:val="00060FDA"/>
    <w:rsid w:val="0008235A"/>
    <w:rsid w:val="000857E6"/>
    <w:rsid w:val="00085A89"/>
    <w:rsid w:val="00092C13"/>
    <w:rsid w:val="000937BB"/>
    <w:rsid w:val="000C4946"/>
    <w:rsid w:val="000C6345"/>
    <w:rsid w:val="000D7F60"/>
    <w:rsid w:val="001126BF"/>
    <w:rsid w:val="00113A5A"/>
    <w:rsid w:val="00121DC3"/>
    <w:rsid w:val="00125C7C"/>
    <w:rsid w:val="00130F23"/>
    <w:rsid w:val="00150577"/>
    <w:rsid w:val="001546C3"/>
    <w:rsid w:val="0016678D"/>
    <w:rsid w:val="00170EF2"/>
    <w:rsid w:val="0017208A"/>
    <w:rsid w:val="00181A8E"/>
    <w:rsid w:val="001827BA"/>
    <w:rsid w:val="00194215"/>
    <w:rsid w:val="001969A3"/>
    <w:rsid w:val="001D73C3"/>
    <w:rsid w:val="001E381D"/>
    <w:rsid w:val="001F356B"/>
    <w:rsid w:val="001F520D"/>
    <w:rsid w:val="002145DD"/>
    <w:rsid w:val="002347D3"/>
    <w:rsid w:val="0026246A"/>
    <w:rsid w:val="00270FE7"/>
    <w:rsid w:val="002823B0"/>
    <w:rsid w:val="0029423D"/>
    <w:rsid w:val="00294735"/>
    <w:rsid w:val="00297513"/>
    <w:rsid w:val="002B2120"/>
    <w:rsid w:val="002D0CA4"/>
    <w:rsid w:val="002E2147"/>
    <w:rsid w:val="002F1753"/>
    <w:rsid w:val="002F4234"/>
    <w:rsid w:val="00301B89"/>
    <w:rsid w:val="0030370D"/>
    <w:rsid w:val="00353DCC"/>
    <w:rsid w:val="00366EF8"/>
    <w:rsid w:val="0037310C"/>
    <w:rsid w:val="00390802"/>
    <w:rsid w:val="00393D26"/>
    <w:rsid w:val="003976F5"/>
    <w:rsid w:val="00397B89"/>
    <w:rsid w:val="003C34B5"/>
    <w:rsid w:val="003D1766"/>
    <w:rsid w:val="003D224A"/>
    <w:rsid w:val="003D606D"/>
    <w:rsid w:val="00401BBD"/>
    <w:rsid w:val="004023F4"/>
    <w:rsid w:val="004111B1"/>
    <w:rsid w:val="00426AC8"/>
    <w:rsid w:val="00431F7F"/>
    <w:rsid w:val="00446370"/>
    <w:rsid w:val="00454676"/>
    <w:rsid w:val="00467930"/>
    <w:rsid w:val="00473102"/>
    <w:rsid w:val="0049795F"/>
    <w:rsid w:val="004B3830"/>
    <w:rsid w:val="004C5D5D"/>
    <w:rsid w:val="004C6A67"/>
    <w:rsid w:val="004F398D"/>
    <w:rsid w:val="004F5700"/>
    <w:rsid w:val="004F5C6C"/>
    <w:rsid w:val="0050281D"/>
    <w:rsid w:val="005075EC"/>
    <w:rsid w:val="0051249B"/>
    <w:rsid w:val="00513156"/>
    <w:rsid w:val="0052307D"/>
    <w:rsid w:val="00525F4A"/>
    <w:rsid w:val="00533C74"/>
    <w:rsid w:val="00534826"/>
    <w:rsid w:val="00535911"/>
    <w:rsid w:val="005363AD"/>
    <w:rsid w:val="005367E6"/>
    <w:rsid w:val="00551F5B"/>
    <w:rsid w:val="005566EC"/>
    <w:rsid w:val="005624D6"/>
    <w:rsid w:val="00562844"/>
    <w:rsid w:val="005726B7"/>
    <w:rsid w:val="00582151"/>
    <w:rsid w:val="0058577D"/>
    <w:rsid w:val="00586A3B"/>
    <w:rsid w:val="005C2903"/>
    <w:rsid w:val="005D7E04"/>
    <w:rsid w:val="005E5AF0"/>
    <w:rsid w:val="005F0AE6"/>
    <w:rsid w:val="005F2038"/>
    <w:rsid w:val="005F5262"/>
    <w:rsid w:val="00611CE1"/>
    <w:rsid w:val="00615DEA"/>
    <w:rsid w:val="0061700A"/>
    <w:rsid w:val="0062736B"/>
    <w:rsid w:val="0062759D"/>
    <w:rsid w:val="00671EB4"/>
    <w:rsid w:val="00675D02"/>
    <w:rsid w:val="00692019"/>
    <w:rsid w:val="00695615"/>
    <w:rsid w:val="006C2656"/>
    <w:rsid w:val="006C491A"/>
    <w:rsid w:val="006D01F7"/>
    <w:rsid w:val="006D71C8"/>
    <w:rsid w:val="006E552A"/>
    <w:rsid w:val="006F198C"/>
    <w:rsid w:val="00703A1A"/>
    <w:rsid w:val="00711926"/>
    <w:rsid w:val="00711B73"/>
    <w:rsid w:val="00721738"/>
    <w:rsid w:val="00735BD6"/>
    <w:rsid w:val="0073733A"/>
    <w:rsid w:val="007475B9"/>
    <w:rsid w:val="0075426F"/>
    <w:rsid w:val="007561F9"/>
    <w:rsid w:val="007602BD"/>
    <w:rsid w:val="00760510"/>
    <w:rsid w:val="00763AAF"/>
    <w:rsid w:val="00773ED5"/>
    <w:rsid w:val="0077677A"/>
    <w:rsid w:val="007824A4"/>
    <w:rsid w:val="007A1326"/>
    <w:rsid w:val="007B0AD8"/>
    <w:rsid w:val="007C1D15"/>
    <w:rsid w:val="007C7C9D"/>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15DA1"/>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511F0"/>
    <w:rsid w:val="00A66AA7"/>
    <w:rsid w:val="00A82FFA"/>
    <w:rsid w:val="00AA274E"/>
    <w:rsid w:val="00AA57BC"/>
    <w:rsid w:val="00AC65A4"/>
    <w:rsid w:val="00AE2DD9"/>
    <w:rsid w:val="00AE7F67"/>
    <w:rsid w:val="00B067DB"/>
    <w:rsid w:val="00B07030"/>
    <w:rsid w:val="00B10B35"/>
    <w:rsid w:val="00B11A1C"/>
    <w:rsid w:val="00B1330C"/>
    <w:rsid w:val="00B266CD"/>
    <w:rsid w:val="00B275C4"/>
    <w:rsid w:val="00B30813"/>
    <w:rsid w:val="00B41D41"/>
    <w:rsid w:val="00B42982"/>
    <w:rsid w:val="00B55B64"/>
    <w:rsid w:val="00B61FBF"/>
    <w:rsid w:val="00B65DA7"/>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7124"/>
    <w:rsid w:val="00C733AE"/>
    <w:rsid w:val="00C928C1"/>
    <w:rsid w:val="00CA7D41"/>
    <w:rsid w:val="00CC7898"/>
    <w:rsid w:val="00CD2B97"/>
    <w:rsid w:val="00CD5602"/>
    <w:rsid w:val="00CE60B0"/>
    <w:rsid w:val="00CF5E36"/>
    <w:rsid w:val="00D002C7"/>
    <w:rsid w:val="00D02E03"/>
    <w:rsid w:val="00D24F4F"/>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90FD3"/>
    <w:rsid w:val="00ED041C"/>
    <w:rsid w:val="00ED7FBF"/>
    <w:rsid w:val="00EE1DDC"/>
    <w:rsid w:val="00F0275E"/>
    <w:rsid w:val="00F074B2"/>
    <w:rsid w:val="00F34DC7"/>
    <w:rsid w:val="00F5216C"/>
    <w:rsid w:val="00F54981"/>
    <w:rsid w:val="00F6014F"/>
    <w:rsid w:val="00F605BD"/>
    <w:rsid w:val="00F614D9"/>
    <w:rsid w:val="00F72BB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66F3817"/>
  <w15:chartTrackingRefBased/>
  <w15:docId w15:val="{03D09EA0-8EDF-4889-A1A5-278B22B7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eflow.com/fr/produits/" TargetMode="External"/><Relationship Id="rId5" Type="http://schemas.openxmlformats.org/officeDocument/2006/relationships/numbering" Target="numbering.xml"/><Relationship Id="rId15" Type="http://schemas.openxmlformats.org/officeDocument/2006/relationships/hyperlink" Target="http://www.viscotec.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2.xml><?xml version="1.0" encoding="utf-8"?>
<ds:datastoreItem xmlns:ds="http://schemas.openxmlformats.org/officeDocument/2006/customXml" ds:itemID="{ED27B615-E1C1-4C9B-9800-922934A70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4.xml><?xml version="1.0" encoding="utf-8"?>
<ds:datastoreItem xmlns:ds="http://schemas.openxmlformats.org/officeDocument/2006/customXml" ds:itemID="{E132A188-272B-4B66-8384-A2453F6501A9}">
  <ds:schemaRefs>
    <ds:schemaRef ds:uri="http://purl.org/dc/terms/"/>
    <ds:schemaRef ds:uri="http://schemas.microsoft.com/sharepoint/v3"/>
    <ds:schemaRef ds:uri="7922725f-000b-404e-aae3-5c2dc82bec7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7dbda7b0-c355-4cc2-a9bf-6a992a3ae90b"/>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974</Words>
  <Characters>6142</Characters>
  <Application>Microsoft Office Word</Application>
  <DocSecurity>0</DocSecurity>
  <Lines>51</Lines>
  <Paragraphs>14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7102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Bacher, Manfred</cp:lastModifiedBy>
  <cp:revision>2</cp:revision>
  <cp:lastPrinted>2020-07-09T08:09:00Z</cp:lastPrinted>
  <dcterms:created xsi:type="dcterms:W3CDTF">2020-10-22T07:33:00Z</dcterms:created>
  <dcterms:modified xsi:type="dcterms:W3CDTF">2020-10-22T07:33:00Z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ies>
</file>