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288B2" w14:textId="44C62169" w:rsidR="004819F8" w:rsidRPr="007063ED" w:rsidRDefault="004819F8" w:rsidP="00AC1DD2">
      <w:pPr>
        <w:pStyle w:val="berschrift1"/>
        <w:rPr>
          <w:lang w:val="de-DE"/>
        </w:rPr>
      </w:pPr>
      <w:r w:rsidRPr="007063ED">
        <w:rPr>
          <w:lang w:val="de-DE"/>
        </w:rPr>
        <w:t>Doppelkammerkartusche: Handling in Einfach!</w:t>
      </w:r>
    </w:p>
    <w:p w14:paraId="01EFD48A" w14:textId="77777777" w:rsidR="004819F8" w:rsidRPr="007063ED" w:rsidRDefault="004819F8" w:rsidP="00A1611B">
      <w:pPr>
        <w:pStyle w:val="Untertitel"/>
        <w:rPr>
          <w:lang w:val="de-DE"/>
        </w:rPr>
      </w:pPr>
    </w:p>
    <w:p w14:paraId="2A27B2B2" w14:textId="5EA27466" w:rsidR="00791C50" w:rsidRPr="007063ED" w:rsidRDefault="004819F8" w:rsidP="00A1611B">
      <w:pPr>
        <w:pStyle w:val="Untertitel"/>
        <w:rPr>
          <w:lang w:val="de-DE"/>
        </w:rPr>
      </w:pPr>
      <w:r w:rsidRPr="007063ED">
        <w:rPr>
          <w:lang w:val="de-DE"/>
        </w:rPr>
        <w:t xml:space="preserve">Neu: Automatisiertes </w:t>
      </w:r>
      <w:r w:rsidR="00A44ED8" w:rsidRPr="007063ED">
        <w:rPr>
          <w:lang w:val="de-DE"/>
        </w:rPr>
        <w:t>Kartuschen</w:t>
      </w:r>
      <w:r w:rsidRPr="007063ED">
        <w:rPr>
          <w:lang w:val="de-DE"/>
        </w:rPr>
        <w:t xml:space="preserve"> </w:t>
      </w:r>
      <w:r w:rsidR="003802B5" w:rsidRPr="007063ED">
        <w:rPr>
          <w:lang w:val="de-DE"/>
        </w:rPr>
        <w:t>Entleer System</w:t>
      </w:r>
      <w:r w:rsidR="00DB081A" w:rsidRPr="007063ED">
        <w:rPr>
          <w:lang w:val="de-DE"/>
        </w:rPr>
        <w:t xml:space="preserve"> eco-FEED</w:t>
      </w:r>
      <w:r w:rsidR="00F32AFA" w:rsidRPr="007063ED">
        <w:rPr>
          <w:lang w:val="de-DE"/>
        </w:rPr>
        <w:t xml:space="preserve"> </w:t>
      </w:r>
    </w:p>
    <w:p w14:paraId="4FFF2A35" w14:textId="443F96FB" w:rsidR="00C135DE" w:rsidRPr="007063ED" w:rsidRDefault="00C135DE" w:rsidP="00A1611B"/>
    <w:p w14:paraId="1242025D" w14:textId="1C2281D1" w:rsidR="00EC1397" w:rsidRPr="006A628C" w:rsidRDefault="00802D51" w:rsidP="003802B5">
      <w:pPr>
        <w:pStyle w:val="Presse-Fliesstext"/>
        <w:rPr>
          <w:lang w:val="de-DE"/>
        </w:rPr>
      </w:pPr>
      <w:proofErr w:type="spellStart"/>
      <w:r w:rsidRPr="00EC1397">
        <w:rPr>
          <w:lang w:val="de-DE"/>
        </w:rPr>
        <w:t>preeflow’s</w:t>
      </w:r>
      <w:proofErr w:type="spellEnd"/>
      <w:r w:rsidRPr="00EC1397">
        <w:rPr>
          <w:lang w:val="de-DE"/>
        </w:rPr>
        <w:t xml:space="preserve"> neuestes Mitglied im Portfolio vereinfacht das Entleeren von Doppelkammerkartuschen. eco-FEED ist ein </w:t>
      </w:r>
      <w:r w:rsidR="00EC1397" w:rsidRPr="00EC1397">
        <w:rPr>
          <w:lang w:val="de-DE"/>
        </w:rPr>
        <w:t>vollautomatisches, pneumatisches</w:t>
      </w:r>
      <w:r w:rsidRPr="00EC1397">
        <w:rPr>
          <w:lang w:val="de-DE"/>
        </w:rPr>
        <w:t xml:space="preserve"> Kartuschen </w:t>
      </w:r>
      <w:proofErr w:type="spellStart"/>
      <w:r w:rsidR="00EC1397" w:rsidRPr="00EC1397">
        <w:rPr>
          <w:lang w:val="de-DE"/>
        </w:rPr>
        <w:t>Entleer</w:t>
      </w:r>
      <w:r w:rsidR="00C729D4">
        <w:rPr>
          <w:lang w:val="de-DE"/>
        </w:rPr>
        <w:t>s</w:t>
      </w:r>
      <w:r w:rsidR="00EC1397" w:rsidRPr="00EC1397">
        <w:rPr>
          <w:lang w:val="de-DE"/>
        </w:rPr>
        <w:t>ystem</w:t>
      </w:r>
      <w:proofErr w:type="spellEnd"/>
      <w:r w:rsidRPr="00EC1397">
        <w:rPr>
          <w:lang w:val="de-DE"/>
        </w:rPr>
        <w:t xml:space="preserve">, </w:t>
      </w:r>
      <w:proofErr w:type="gramStart"/>
      <w:r w:rsidRPr="00EC1397">
        <w:rPr>
          <w:lang w:val="de-DE"/>
        </w:rPr>
        <w:t>das</w:t>
      </w:r>
      <w:proofErr w:type="gramEnd"/>
      <w:r w:rsidRPr="00EC1397">
        <w:rPr>
          <w:lang w:val="de-DE"/>
        </w:rPr>
        <w:t xml:space="preserve"> die Funktion des Auspressens übernimmt</w:t>
      </w:r>
      <w:r w:rsidR="00EC1397" w:rsidRPr="00EC1397">
        <w:rPr>
          <w:lang w:val="de-DE"/>
        </w:rPr>
        <w:t>. Und zugleich die besonders präzise und schonende Materialversorgung des</w:t>
      </w:r>
      <w:r w:rsidRPr="00EC1397">
        <w:rPr>
          <w:lang w:val="de-DE"/>
        </w:rPr>
        <w:t xml:space="preserve"> eco-DUO</w:t>
      </w:r>
      <w:r w:rsidR="00EC1397" w:rsidRPr="00EC1397">
        <w:rPr>
          <w:lang w:val="de-DE"/>
        </w:rPr>
        <w:t xml:space="preserve"> </w:t>
      </w:r>
      <w:r w:rsidRPr="00EC1397">
        <w:rPr>
          <w:lang w:val="de-DE"/>
        </w:rPr>
        <w:t>Dispenser</w:t>
      </w:r>
      <w:r w:rsidR="00EC1397" w:rsidRPr="00EC1397">
        <w:rPr>
          <w:lang w:val="de-DE"/>
        </w:rPr>
        <w:t>s</w:t>
      </w:r>
      <w:r w:rsidR="00244933">
        <w:rPr>
          <w:lang w:val="de-DE"/>
        </w:rPr>
        <w:t xml:space="preserve"> prozesssicher realisiert</w:t>
      </w:r>
      <w:r w:rsidRPr="00EC1397">
        <w:rPr>
          <w:lang w:val="de-DE"/>
        </w:rPr>
        <w:t>.</w:t>
      </w:r>
      <w:r w:rsidR="00EC1397" w:rsidRPr="00EC1397">
        <w:rPr>
          <w:lang w:val="de-DE"/>
        </w:rPr>
        <w:t xml:space="preserve"> Es handelt sich dabei um eine</w:t>
      </w:r>
      <w:r w:rsidR="00244933">
        <w:rPr>
          <w:lang w:val="de-DE"/>
        </w:rPr>
        <w:t xml:space="preserve"> </w:t>
      </w:r>
      <w:r w:rsidR="00EC1397" w:rsidRPr="00EC1397">
        <w:rPr>
          <w:lang w:val="de-DE"/>
        </w:rPr>
        <w:t xml:space="preserve">Stand Alone </w:t>
      </w:r>
      <w:r w:rsidR="003F17DB" w:rsidRPr="00AB374C">
        <w:rPr>
          <w:lang w:val="de-DE"/>
        </w:rPr>
        <w:t>Auspressvorrichtung</w:t>
      </w:r>
      <w:r w:rsidR="003F17DB" w:rsidRPr="00EC1397">
        <w:rPr>
          <w:lang w:val="de-DE"/>
        </w:rPr>
        <w:t xml:space="preserve"> </w:t>
      </w:r>
      <w:r w:rsidR="00EC1397" w:rsidRPr="00EC1397">
        <w:rPr>
          <w:lang w:val="de-DE"/>
        </w:rPr>
        <w:t xml:space="preserve">für 2K </w:t>
      </w:r>
      <w:r w:rsidR="003F17DB" w:rsidRPr="00EC1397">
        <w:rPr>
          <w:lang w:val="de-DE"/>
        </w:rPr>
        <w:t>Doppelkammer</w:t>
      </w:r>
      <w:r w:rsidR="00531861">
        <w:rPr>
          <w:lang w:val="de-DE"/>
        </w:rPr>
        <w:t>k</w:t>
      </w:r>
      <w:r w:rsidR="00EC1397" w:rsidRPr="00EC1397">
        <w:rPr>
          <w:lang w:val="de-DE"/>
        </w:rPr>
        <w:t xml:space="preserve">artuschen mit separater Ansteuerung der </w:t>
      </w:r>
      <w:r w:rsidR="000D62EA">
        <w:rPr>
          <w:lang w:val="de-DE"/>
        </w:rPr>
        <w:t>jeweiligen Materialkammern</w:t>
      </w:r>
      <w:r w:rsidR="00EC1397" w:rsidRPr="00EC1397">
        <w:rPr>
          <w:lang w:val="de-DE"/>
        </w:rPr>
        <w:t xml:space="preserve">. </w:t>
      </w:r>
      <w:r w:rsidR="006A628C" w:rsidRPr="00C65954">
        <w:rPr>
          <w:lang w:val="de-DE"/>
        </w:rPr>
        <w:t>Das System kann als Desktop oder Anbau</w:t>
      </w:r>
      <w:r w:rsidR="00C05DAA">
        <w:rPr>
          <w:lang w:val="de-DE"/>
        </w:rPr>
        <w:t xml:space="preserve"> </w:t>
      </w:r>
      <w:r w:rsidR="006A628C" w:rsidRPr="00C65954">
        <w:rPr>
          <w:lang w:val="de-DE"/>
        </w:rPr>
        <w:t>Variante betrieben werden</w:t>
      </w:r>
      <w:r w:rsidR="002A32F2">
        <w:rPr>
          <w:lang w:val="de-DE"/>
        </w:rPr>
        <w:t>.</w:t>
      </w:r>
    </w:p>
    <w:p w14:paraId="2DC7432D" w14:textId="77777777" w:rsidR="003802B5" w:rsidRPr="003802B5" w:rsidRDefault="003802B5" w:rsidP="003802B5">
      <w:pPr>
        <w:pStyle w:val="Presse-Fliesstext"/>
        <w:rPr>
          <w:lang w:val="de-DE"/>
        </w:rPr>
      </w:pPr>
    </w:p>
    <w:p w14:paraId="3A110600" w14:textId="282F1925" w:rsidR="00504B44" w:rsidRPr="007063ED" w:rsidRDefault="00802D51" w:rsidP="00802D51">
      <w:pPr>
        <w:pStyle w:val="Presse-Fliesstext"/>
        <w:rPr>
          <w:lang w:val="de-DE"/>
        </w:rPr>
      </w:pPr>
      <w:bookmarkStart w:id="0" w:name="_Hlk66693373"/>
      <w:r w:rsidRPr="007063ED">
        <w:rPr>
          <w:lang w:val="de-DE"/>
        </w:rPr>
        <w:t>Doppelkammer</w:t>
      </w:r>
      <w:r w:rsidR="00D73442">
        <w:rPr>
          <w:lang w:val="de-DE"/>
        </w:rPr>
        <w:t>k</w:t>
      </w:r>
      <w:r w:rsidRPr="007063ED">
        <w:rPr>
          <w:lang w:val="de-DE"/>
        </w:rPr>
        <w:t xml:space="preserve">artuschen werden in </w:t>
      </w:r>
      <w:r w:rsidR="007063ED" w:rsidRPr="007063ED">
        <w:rPr>
          <w:lang w:val="de-DE"/>
        </w:rPr>
        <w:t>vielen</w:t>
      </w:r>
      <w:r w:rsidRPr="007063ED">
        <w:rPr>
          <w:lang w:val="de-DE"/>
        </w:rPr>
        <w:t xml:space="preserve"> Bereichen eingesetzt</w:t>
      </w:r>
      <w:r w:rsidR="007063ED">
        <w:rPr>
          <w:lang w:val="de-DE"/>
        </w:rPr>
        <w:t xml:space="preserve"> – vom </w:t>
      </w:r>
      <w:r w:rsidR="007063ED" w:rsidRPr="007063ED">
        <w:rPr>
          <w:lang w:val="de-DE"/>
        </w:rPr>
        <w:t xml:space="preserve">Handwerk bis zur industriellen Fertigung. Die eco-FEED punktet vor allem </w:t>
      </w:r>
      <w:r w:rsidR="007063ED">
        <w:rPr>
          <w:lang w:val="de-DE"/>
        </w:rPr>
        <w:t>dort, wo</w:t>
      </w:r>
      <w:r w:rsidR="007063ED" w:rsidRPr="007063ED">
        <w:rPr>
          <w:lang w:val="de-DE"/>
        </w:rPr>
        <w:t xml:space="preserve"> Automatisierung und Prozessüberwachung benötigt werden</w:t>
      </w:r>
      <w:r w:rsidR="007063ED">
        <w:rPr>
          <w:lang w:val="de-DE"/>
        </w:rPr>
        <w:t>. Wie</w:t>
      </w:r>
      <w:r w:rsidR="007063ED" w:rsidRPr="007063ED">
        <w:rPr>
          <w:lang w:val="de-DE"/>
        </w:rPr>
        <w:t xml:space="preserve"> z.B. in der Elektronikfertigung</w:t>
      </w:r>
      <w:r w:rsidR="007063ED">
        <w:rPr>
          <w:lang w:val="de-DE"/>
        </w:rPr>
        <w:t>: Immer dann</w:t>
      </w:r>
      <w:r w:rsidR="00C31DB9" w:rsidRPr="007063ED">
        <w:rPr>
          <w:lang w:val="de-DE"/>
        </w:rPr>
        <w:t xml:space="preserve">, </w:t>
      </w:r>
      <w:r w:rsidR="002F206C" w:rsidRPr="007063ED">
        <w:rPr>
          <w:lang w:val="de-DE"/>
        </w:rPr>
        <w:t>w</w:t>
      </w:r>
      <w:r w:rsidR="007063ED">
        <w:rPr>
          <w:lang w:val="de-DE"/>
        </w:rPr>
        <w:t>enn</w:t>
      </w:r>
      <w:r w:rsidR="002F206C" w:rsidRPr="007063ED">
        <w:rPr>
          <w:lang w:val="de-DE"/>
        </w:rPr>
        <w:t xml:space="preserve"> Klebstoffe</w:t>
      </w:r>
      <w:r w:rsidR="00C31DB9" w:rsidRPr="007063ED">
        <w:rPr>
          <w:lang w:val="de-DE"/>
        </w:rPr>
        <w:t xml:space="preserve"> oder andere </w:t>
      </w:r>
      <w:r w:rsidR="007B55F3" w:rsidRPr="007063ED">
        <w:rPr>
          <w:lang w:val="de-DE"/>
        </w:rPr>
        <w:t xml:space="preserve">zweikomponentige </w:t>
      </w:r>
      <w:r w:rsidR="00C31DB9" w:rsidRPr="007063ED">
        <w:rPr>
          <w:lang w:val="de-DE"/>
        </w:rPr>
        <w:t>Materialien</w:t>
      </w:r>
      <w:r w:rsidR="002F206C" w:rsidRPr="007063ED">
        <w:rPr>
          <w:lang w:val="de-DE"/>
        </w:rPr>
        <w:t xml:space="preserve"> verarbeitet werden.</w:t>
      </w:r>
      <w:r w:rsidR="00C31DB9" w:rsidRPr="007063ED">
        <w:rPr>
          <w:lang w:val="de-DE"/>
        </w:rPr>
        <w:t xml:space="preserve"> </w:t>
      </w:r>
      <w:r w:rsidR="00A67FBB" w:rsidRPr="007063ED">
        <w:rPr>
          <w:lang w:val="de-DE"/>
        </w:rPr>
        <w:t>Epoxidklebstoffe</w:t>
      </w:r>
      <w:r w:rsidR="00504B44" w:rsidRPr="007063ED">
        <w:rPr>
          <w:lang w:val="de-DE"/>
        </w:rPr>
        <w:t xml:space="preserve">, </w:t>
      </w:r>
      <w:proofErr w:type="spellStart"/>
      <w:r w:rsidR="00A67FBB" w:rsidRPr="007063ED">
        <w:rPr>
          <w:lang w:val="de-DE"/>
        </w:rPr>
        <w:t>Methacrylate</w:t>
      </w:r>
      <w:proofErr w:type="spellEnd"/>
      <w:r w:rsidR="00A67FBB" w:rsidRPr="007063ED">
        <w:rPr>
          <w:lang w:val="de-DE"/>
        </w:rPr>
        <w:t xml:space="preserve"> </w:t>
      </w:r>
      <w:r w:rsidR="00504B44" w:rsidRPr="007063ED">
        <w:rPr>
          <w:lang w:val="de-DE"/>
        </w:rPr>
        <w:t>und</w:t>
      </w:r>
      <w:r w:rsidR="00A67FBB" w:rsidRPr="007063ED">
        <w:rPr>
          <w:lang w:val="de-DE"/>
        </w:rPr>
        <w:t xml:space="preserve"> Polyurethane werden dafür von namhaften Materialherstellern in Doppelkammerkartuschen bereitgestellt. Und ab sofort können sie noch viel präziser, wirtschaftlicher und materialschonender</w:t>
      </w:r>
      <w:r w:rsidR="00A67FBB" w:rsidRPr="007063ED">
        <w:rPr>
          <w:lang w:val="de-DE" w:eastAsia="de-DE"/>
        </w:rPr>
        <w:t xml:space="preserve"> zugeführt und dosiert werden. </w:t>
      </w:r>
    </w:p>
    <w:bookmarkEnd w:id="0"/>
    <w:p w14:paraId="7B3E04BD" w14:textId="77777777" w:rsidR="00504B44" w:rsidRPr="007063ED" w:rsidRDefault="00504B44" w:rsidP="00802D51">
      <w:pPr>
        <w:pStyle w:val="Presse-Fliesstext"/>
        <w:rPr>
          <w:lang w:val="de-DE" w:eastAsia="de-DE"/>
        </w:rPr>
      </w:pPr>
    </w:p>
    <w:p w14:paraId="4ED5AE3B" w14:textId="78CBA5DC" w:rsidR="00C31DB9" w:rsidRPr="007063ED" w:rsidRDefault="00A67FBB" w:rsidP="00802D51">
      <w:pPr>
        <w:pStyle w:val="Presse-Fliesstext"/>
        <w:rPr>
          <w:lang w:val="de-DE"/>
        </w:rPr>
      </w:pPr>
      <w:r w:rsidRPr="00AB374C">
        <w:rPr>
          <w:lang w:val="de-DE" w:eastAsia="de-DE"/>
        </w:rPr>
        <w:t>Die speziell entwickelten Kartuschen Adapter für eco-FEED sorgen für eine Separierung des Dosiermediums.</w:t>
      </w:r>
      <w:r w:rsidRPr="007063ED">
        <w:rPr>
          <w:lang w:val="de-DE" w:eastAsia="de-DE"/>
        </w:rPr>
        <w:t xml:space="preserve"> Beide Komponenten werden dem eco-DUO Dispenser zugeführt, der für die präzise Vermischung und Auftragung zuständig ist. </w:t>
      </w:r>
      <w:r w:rsidR="00C31DB9" w:rsidRPr="007063ED">
        <w:rPr>
          <w:lang w:val="de-DE"/>
        </w:rPr>
        <w:t>„</w:t>
      </w:r>
      <w:r w:rsidR="00FD421C" w:rsidRPr="007063ED">
        <w:rPr>
          <w:lang w:val="de-DE"/>
        </w:rPr>
        <w:t xml:space="preserve">Smart </w:t>
      </w:r>
      <w:proofErr w:type="spellStart"/>
      <w:r w:rsidR="00FD421C" w:rsidRPr="007063ED">
        <w:rPr>
          <w:lang w:val="de-DE"/>
        </w:rPr>
        <w:t>Feeding</w:t>
      </w:r>
      <w:proofErr w:type="spellEnd"/>
      <w:r w:rsidR="00FD421C" w:rsidRPr="007063ED">
        <w:rPr>
          <w:lang w:val="de-DE"/>
        </w:rPr>
        <w:t xml:space="preserve"> war unser Stichwort bei der Entwicklung. Und i</w:t>
      </w:r>
      <w:r w:rsidR="00C31DB9" w:rsidRPr="007063ED">
        <w:rPr>
          <w:lang w:val="de-DE"/>
        </w:rPr>
        <w:t xml:space="preserve">ch bin davon überzeugt, dass unsere Kunden bald genauso begeistert sein werden wie ich, wie einfach unsere eco-FEED funktioniert!“ sagt Thomas Diringer, der </w:t>
      </w:r>
      <w:r w:rsidR="00C31DB9" w:rsidRPr="00AB374C">
        <w:rPr>
          <w:lang w:val="de-DE"/>
        </w:rPr>
        <w:t>Geschäfts</w:t>
      </w:r>
      <w:r w:rsidR="006742F6" w:rsidRPr="00AB374C">
        <w:rPr>
          <w:lang w:val="de-DE"/>
        </w:rPr>
        <w:t>feld</w:t>
      </w:r>
      <w:r w:rsidR="00C31DB9" w:rsidRPr="00AB374C">
        <w:rPr>
          <w:lang w:val="de-DE"/>
        </w:rPr>
        <w:t>leiter</w:t>
      </w:r>
      <w:r w:rsidR="00C31DB9" w:rsidRPr="007063ED">
        <w:rPr>
          <w:lang w:val="de-DE"/>
        </w:rPr>
        <w:t xml:space="preserve"> preeflow. </w:t>
      </w:r>
    </w:p>
    <w:p w14:paraId="3547CC56" w14:textId="1E76D5F0" w:rsidR="00FD421C" w:rsidRPr="007063ED" w:rsidRDefault="00FD421C" w:rsidP="00802D51">
      <w:pPr>
        <w:pStyle w:val="Presse-Fliesstext"/>
        <w:rPr>
          <w:lang w:val="de-DE"/>
        </w:rPr>
      </w:pPr>
    </w:p>
    <w:p w14:paraId="2FC39E74" w14:textId="43563816" w:rsidR="00C3054F" w:rsidRPr="007063ED" w:rsidRDefault="000563CC" w:rsidP="00C3054F">
      <w:pPr>
        <w:pStyle w:val="Untertitel"/>
        <w:rPr>
          <w:lang w:val="de-DE" w:eastAsia="de-DE"/>
        </w:rPr>
      </w:pPr>
      <w:r w:rsidRPr="007063ED">
        <w:rPr>
          <w:lang w:val="de-DE" w:eastAsia="de-DE"/>
        </w:rPr>
        <w:t xml:space="preserve">Überzeugende </w:t>
      </w:r>
      <w:r w:rsidR="00FD421C" w:rsidRPr="007063ED">
        <w:rPr>
          <w:lang w:val="de-DE" w:eastAsia="de-DE"/>
        </w:rPr>
        <w:t>Argumente</w:t>
      </w:r>
      <w:r w:rsidR="00CA0969">
        <w:rPr>
          <w:lang w:val="de-DE" w:eastAsia="de-DE"/>
        </w:rPr>
        <w:t xml:space="preserve"> der eco-FEED</w:t>
      </w:r>
    </w:p>
    <w:p w14:paraId="18473692" w14:textId="77777777" w:rsidR="00412DF4" w:rsidRPr="007063ED" w:rsidRDefault="00412DF4" w:rsidP="000F053C">
      <w:pPr>
        <w:pStyle w:val="Presse-Fliesstext"/>
        <w:rPr>
          <w:lang w:val="de-DE" w:eastAsia="de-DE"/>
        </w:rPr>
      </w:pPr>
    </w:p>
    <w:p w14:paraId="22E9D14E" w14:textId="7760C390" w:rsidR="006C1E2E" w:rsidRPr="007063ED" w:rsidRDefault="00B2015D" w:rsidP="000F053C">
      <w:pPr>
        <w:pStyle w:val="Presse-Fliesstext"/>
        <w:rPr>
          <w:lang w:val="de-DE" w:eastAsia="de-DE"/>
        </w:rPr>
      </w:pPr>
      <w:r w:rsidRPr="007063ED">
        <w:rPr>
          <w:lang w:val="de-DE" w:eastAsia="de-DE"/>
        </w:rPr>
        <w:t>Die</w:t>
      </w:r>
      <w:r w:rsidR="000563CC" w:rsidRPr="007063ED">
        <w:rPr>
          <w:lang w:val="de-DE" w:eastAsia="de-DE"/>
        </w:rPr>
        <w:t xml:space="preserve"> einzelnen </w:t>
      </w:r>
      <w:r w:rsidR="000563CC" w:rsidRPr="007063ED">
        <w:rPr>
          <w:b/>
          <w:bCs/>
          <w:lang w:val="de-DE" w:eastAsia="de-DE"/>
        </w:rPr>
        <w:t>Zylinder</w:t>
      </w:r>
      <w:r w:rsidR="000563CC" w:rsidRPr="007063ED">
        <w:rPr>
          <w:lang w:val="de-DE" w:eastAsia="de-DE"/>
        </w:rPr>
        <w:t xml:space="preserve"> der eco-FEED sind </w:t>
      </w:r>
      <w:r w:rsidR="000563CC" w:rsidRPr="007063ED">
        <w:rPr>
          <w:b/>
          <w:bCs/>
          <w:lang w:val="de-DE" w:eastAsia="de-DE"/>
        </w:rPr>
        <w:t>individuell beweglich</w:t>
      </w:r>
      <w:r w:rsidR="000563CC" w:rsidRPr="007063ED">
        <w:rPr>
          <w:lang w:val="de-DE" w:eastAsia="de-DE"/>
        </w:rPr>
        <w:t xml:space="preserve">. </w:t>
      </w:r>
      <w:r w:rsidR="006C1E2E" w:rsidRPr="007063ED">
        <w:rPr>
          <w:lang w:val="de-DE" w:eastAsia="de-DE"/>
        </w:rPr>
        <w:t xml:space="preserve">Das ermöglicht eine </w:t>
      </w:r>
      <w:r w:rsidRPr="007063ED">
        <w:rPr>
          <w:lang w:val="de-DE" w:eastAsia="de-DE"/>
        </w:rPr>
        <w:t xml:space="preserve">separate Druckbeaufschlagung </w:t>
      </w:r>
      <w:r w:rsidR="006C1E2E" w:rsidRPr="007063ED">
        <w:rPr>
          <w:lang w:val="de-DE" w:eastAsia="de-DE"/>
        </w:rPr>
        <w:t>beider</w:t>
      </w:r>
      <w:r w:rsidRPr="007063ED">
        <w:rPr>
          <w:lang w:val="de-DE" w:eastAsia="de-DE"/>
        </w:rPr>
        <w:t xml:space="preserve"> Komponenten</w:t>
      </w:r>
      <w:r w:rsidR="006C1E2E" w:rsidRPr="007063ED">
        <w:rPr>
          <w:lang w:val="de-DE" w:eastAsia="de-DE"/>
        </w:rPr>
        <w:t xml:space="preserve">. Was wiederum bedeutet, dass die Dosierdrücke passend auf das zu dosierende Material abgestimmt und eingestellt werden </w:t>
      </w:r>
      <w:r w:rsidR="006C1E2E" w:rsidRPr="007063ED">
        <w:rPr>
          <w:lang w:val="de-DE" w:eastAsia="de-DE"/>
        </w:rPr>
        <w:lastRenderedPageBreak/>
        <w:t xml:space="preserve">können: An beiden Seiten unterschiedlich und jeweils mit bis zu 6 bar. Das ist ein großer Vorteil gegenüber Standardsystemen, die nicht die Möglichkeit haben, den Druck individuell zu regeln. </w:t>
      </w:r>
      <w:r w:rsidR="00504B44" w:rsidRPr="007063ED">
        <w:rPr>
          <w:lang w:val="de-DE" w:eastAsia="de-DE"/>
        </w:rPr>
        <w:t>Denn o</w:t>
      </w:r>
      <w:r w:rsidR="006C1E2E" w:rsidRPr="007063ED">
        <w:rPr>
          <w:lang w:val="de-DE" w:eastAsia="de-DE"/>
        </w:rPr>
        <w:t xml:space="preserve">ft erfordern beispielsweise unterschiedliche Viskositäten der beiden Komponenten eine unterschiedliche Behandlung. </w:t>
      </w:r>
    </w:p>
    <w:p w14:paraId="14D0D7EF" w14:textId="77777777" w:rsidR="002F4BC4" w:rsidRPr="007063ED" w:rsidRDefault="002F4BC4" w:rsidP="000F053C">
      <w:pPr>
        <w:pStyle w:val="Presse-Fliesstext"/>
        <w:rPr>
          <w:lang w:val="de-DE" w:eastAsia="de-DE"/>
        </w:rPr>
      </w:pPr>
    </w:p>
    <w:p w14:paraId="0C3039CD" w14:textId="0BFC1D34" w:rsidR="00A44ECC" w:rsidRPr="007063ED" w:rsidRDefault="00B943B2" w:rsidP="000F053C">
      <w:pPr>
        <w:pStyle w:val="Presse-Fliesstext"/>
        <w:rPr>
          <w:lang w:val="de-DE" w:eastAsia="de-DE"/>
        </w:rPr>
      </w:pPr>
      <w:r w:rsidRPr="007063ED">
        <w:rPr>
          <w:lang w:val="de-DE" w:eastAsia="de-DE"/>
        </w:rPr>
        <w:t xml:space="preserve">Die </w:t>
      </w:r>
      <w:r w:rsidRPr="007063ED">
        <w:rPr>
          <w:b/>
          <w:bCs/>
          <w:lang w:val="de-DE" w:eastAsia="de-DE"/>
        </w:rPr>
        <w:t>schlanke Bauform</w:t>
      </w:r>
      <w:r w:rsidRPr="007063ED">
        <w:rPr>
          <w:lang w:val="de-DE" w:eastAsia="de-DE"/>
        </w:rPr>
        <w:t xml:space="preserve"> der eco-FEED</w:t>
      </w:r>
      <w:r w:rsidR="00FD421C" w:rsidRPr="007063ED">
        <w:rPr>
          <w:lang w:val="de-DE" w:eastAsia="de-DE"/>
        </w:rPr>
        <w:t xml:space="preserve"> ermöglicht die Positionierung in oder an Dosierzellen. In Kombination mit dem optional erhältlichen </w:t>
      </w:r>
      <w:proofErr w:type="spellStart"/>
      <w:r w:rsidR="00FD421C" w:rsidRPr="007063ED">
        <w:rPr>
          <w:lang w:val="de-DE" w:eastAsia="de-DE"/>
        </w:rPr>
        <w:t>Standfuß</w:t>
      </w:r>
      <w:proofErr w:type="spellEnd"/>
      <w:r w:rsidR="00FD421C" w:rsidRPr="007063ED">
        <w:rPr>
          <w:lang w:val="de-DE" w:eastAsia="de-DE"/>
        </w:rPr>
        <w:t xml:space="preserve"> kann das Kartuschen</w:t>
      </w:r>
      <w:r w:rsidR="00792007">
        <w:rPr>
          <w:lang w:val="de-DE" w:eastAsia="de-DE"/>
        </w:rPr>
        <w:t>-</w:t>
      </w:r>
      <w:proofErr w:type="spellStart"/>
      <w:r w:rsidR="00FD421C" w:rsidRPr="007063ED">
        <w:rPr>
          <w:lang w:val="de-DE" w:eastAsia="de-DE"/>
        </w:rPr>
        <w:t>Entleersystem</w:t>
      </w:r>
      <w:proofErr w:type="spellEnd"/>
      <w:r w:rsidR="00FD421C" w:rsidRPr="007063ED">
        <w:rPr>
          <w:lang w:val="de-DE" w:eastAsia="de-DE"/>
        </w:rPr>
        <w:t xml:space="preserve"> auch einfach neben dem jeweiligen Dosiersystem aufgestellt werden. </w:t>
      </w:r>
    </w:p>
    <w:p w14:paraId="1DDF268E" w14:textId="77777777" w:rsidR="00A44ECC" w:rsidRPr="007063ED" w:rsidRDefault="00A44ECC" w:rsidP="000F053C">
      <w:pPr>
        <w:pStyle w:val="Presse-Fliesstext"/>
        <w:rPr>
          <w:lang w:val="de-DE" w:eastAsia="de-DE"/>
        </w:rPr>
      </w:pPr>
    </w:p>
    <w:p w14:paraId="7CF08D04" w14:textId="1DAD67A3" w:rsidR="00B943B2" w:rsidRPr="007063ED" w:rsidRDefault="00083189" w:rsidP="000F053C">
      <w:pPr>
        <w:pStyle w:val="Presse-Fliesstext"/>
        <w:rPr>
          <w:lang w:val="de-DE" w:eastAsia="de-DE"/>
        </w:rPr>
      </w:pPr>
      <w:r w:rsidRPr="007063ED">
        <w:rPr>
          <w:lang w:val="de-DE" w:eastAsia="de-DE"/>
        </w:rPr>
        <w:t>Mit der integrierten</w:t>
      </w:r>
      <w:r w:rsidR="00B943B2" w:rsidRPr="007063ED">
        <w:rPr>
          <w:lang w:val="de-DE" w:eastAsia="de-DE"/>
        </w:rPr>
        <w:t xml:space="preserve"> </w:t>
      </w:r>
      <w:r w:rsidR="00B943B2" w:rsidRPr="007063ED">
        <w:rPr>
          <w:b/>
          <w:bCs/>
          <w:lang w:val="de-DE" w:eastAsia="de-DE"/>
        </w:rPr>
        <w:t>optische</w:t>
      </w:r>
      <w:r w:rsidRPr="007063ED">
        <w:rPr>
          <w:b/>
          <w:bCs/>
          <w:lang w:val="de-DE" w:eastAsia="de-DE"/>
        </w:rPr>
        <w:t>n</w:t>
      </w:r>
      <w:r w:rsidR="00B943B2" w:rsidRPr="007063ED">
        <w:rPr>
          <w:b/>
          <w:bCs/>
          <w:lang w:val="de-DE" w:eastAsia="de-DE"/>
        </w:rPr>
        <w:t xml:space="preserve"> </w:t>
      </w:r>
      <w:proofErr w:type="spellStart"/>
      <w:r w:rsidR="00B943B2" w:rsidRPr="007063ED">
        <w:rPr>
          <w:b/>
          <w:bCs/>
          <w:lang w:val="de-DE" w:eastAsia="de-DE"/>
        </w:rPr>
        <w:t>Füllstandsüberwachung</w:t>
      </w:r>
      <w:proofErr w:type="spellEnd"/>
      <w:r w:rsidR="00B943B2" w:rsidRPr="007063ED">
        <w:rPr>
          <w:lang w:val="de-DE" w:eastAsia="de-DE"/>
        </w:rPr>
        <w:t xml:space="preserve"> </w:t>
      </w:r>
      <w:r w:rsidRPr="007063ED">
        <w:rPr>
          <w:lang w:val="de-DE" w:eastAsia="de-DE"/>
        </w:rPr>
        <w:t>an</w:t>
      </w:r>
      <w:r w:rsidR="00B943B2" w:rsidRPr="007063ED">
        <w:rPr>
          <w:lang w:val="de-DE" w:eastAsia="de-DE"/>
        </w:rPr>
        <w:t xml:space="preserve"> der Vorderseite</w:t>
      </w:r>
      <w:r w:rsidRPr="007063ED">
        <w:rPr>
          <w:lang w:val="de-DE" w:eastAsia="de-DE"/>
        </w:rPr>
        <w:t xml:space="preserve"> der eco-FEED hat man den Füllstand immer im Blick. Ist das nicht genug, gibt es</w:t>
      </w:r>
      <w:r w:rsidR="00B943B2" w:rsidRPr="007063ED">
        <w:rPr>
          <w:lang w:val="de-DE" w:eastAsia="de-DE"/>
        </w:rPr>
        <w:t xml:space="preserve"> optional </w:t>
      </w:r>
      <w:r w:rsidRPr="007063ED">
        <w:rPr>
          <w:lang w:val="de-DE" w:eastAsia="de-DE"/>
        </w:rPr>
        <w:t xml:space="preserve">die Möglichkeit einer </w:t>
      </w:r>
      <w:r w:rsidR="00B943B2" w:rsidRPr="007063ED">
        <w:rPr>
          <w:b/>
          <w:bCs/>
          <w:lang w:val="de-DE" w:eastAsia="de-DE"/>
        </w:rPr>
        <w:t>elektrische</w:t>
      </w:r>
      <w:r w:rsidRPr="007063ED">
        <w:rPr>
          <w:b/>
          <w:bCs/>
          <w:lang w:val="de-DE" w:eastAsia="de-DE"/>
        </w:rPr>
        <w:t>n</w:t>
      </w:r>
      <w:r w:rsidR="00B943B2" w:rsidRPr="007063ED">
        <w:rPr>
          <w:b/>
          <w:bCs/>
          <w:lang w:val="de-DE" w:eastAsia="de-DE"/>
        </w:rPr>
        <w:t xml:space="preserve"> </w:t>
      </w:r>
      <w:proofErr w:type="spellStart"/>
      <w:r w:rsidR="00B943B2" w:rsidRPr="007063ED">
        <w:rPr>
          <w:b/>
          <w:bCs/>
          <w:lang w:val="de-DE" w:eastAsia="de-DE"/>
        </w:rPr>
        <w:t>Füllstandsüberwachung</w:t>
      </w:r>
      <w:proofErr w:type="spellEnd"/>
      <w:r w:rsidRPr="007063ED">
        <w:rPr>
          <w:lang w:val="de-DE" w:eastAsia="de-DE"/>
        </w:rPr>
        <w:t xml:space="preserve">. Für maximale Prozesssicherheit und noch bessere, automatisierte Überwachung des Dosierprozesses. </w:t>
      </w:r>
    </w:p>
    <w:p w14:paraId="206D92A9" w14:textId="26A02AF2" w:rsidR="00C3054F" w:rsidRPr="007063ED" w:rsidRDefault="00C3054F" w:rsidP="000F053C">
      <w:pPr>
        <w:pStyle w:val="Presse-Fliesstext"/>
        <w:rPr>
          <w:lang w:val="de-DE" w:eastAsia="de-DE"/>
        </w:rPr>
      </w:pPr>
    </w:p>
    <w:p w14:paraId="3EDAEBF3" w14:textId="4CB3F475" w:rsidR="00C3054F" w:rsidRPr="007063ED" w:rsidRDefault="00C3054F" w:rsidP="00937683">
      <w:pPr>
        <w:pStyle w:val="Presse-Fliesstext"/>
        <w:rPr>
          <w:lang w:val="de-DE" w:eastAsia="de-DE"/>
        </w:rPr>
      </w:pPr>
      <w:r w:rsidRPr="007063ED">
        <w:rPr>
          <w:lang w:val="de-DE" w:eastAsia="de-DE"/>
        </w:rPr>
        <w:t xml:space="preserve">Durch die kontinuierliche Versorgung des 2K Dispensers mit Dosiermaterial wird der </w:t>
      </w:r>
      <w:r w:rsidRPr="007063ED">
        <w:rPr>
          <w:b/>
          <w:bCs/>
          <w:lang w:val="de-DE" w:eastAsia="de-DE"/>
        </w:rPr>
        <w:t>Materialauftrag</w:t>
      </w:r>
      <w:r w:rsidRPr="007063ED">
        <w:rPr>
          <w:lang w:val="de-DE" w:eastAsia="de-DE"/>
        </w:rPr>
        <w:t xml:space="preserve"> wesentlich </w:t>
      </w:r>
      <w:r w:rsidRPr="007063ED">
        <w:rPr>
          <w:b/>
          <w:bCs/>
          <w:lang w:val="de-DE" w:eastAsia="de-DE"/>
        </w:rPr>
        <w:t>präziser</w:t>
      </w:r>
      <w:r w:rsidRPr="007063ED">
        <w:rPr>
          <w:lang w:val="de-DE" w:eastAsia="de-DE"/>
        </w:rPr>
        <w:t>. Bei Handapplikationen ist die Dosierung ungenauer: Der Mitarbeiter kann den Kraftaufwand nicht genauso konstant halten wie ein automatisiertes Dosiersystem. Bei zu geringem Druck wird der Materialauftrag unterbrochen oder zu gering. Bei zu starkem Druck drückt das Material unter Umständen stark nach. So wird mit der eco-FEED auch der Materialv</w:t>
      </w:r>
      <w:r w:rsidR="00F52668" w:rsidRPr="007063ED">
        <w:rPr>
          <w:lang w:val="de-DE" w:eastAsia="de-DE"/>
        </w:rPr>
        <w:t xml:space="preserve">erbrauch </w:t>
      </w:r>
      <w:r w:rsidRPr="007063ED">
        <w:rPr>
          <w:lang w:val="de-DE" w:eastAsia="de-DE"/>
        </w:rPr>
        <w:t xml:space="preserve">reduziert, bzw. </w:t>
      </w:r>
      <w:r w:rsidR="00504B44" w:rsidRPr="007063ED">
        <w:rPr>
          <w:lang w:val="de-DE" w:eastAsia="de-DE"/>
        </w:rPr>
        <w:t xml:space="preserve">einer </w:t>
      </w:r>
      <w:r w:rsidRPr="007063ED">
        <w:rPr>
          <w:lang w:val="de-DE" w:eastAsia="de-DE"/>
        </w:rPr>
        <w:t xml:space="preserve">Materialverschwendung vorgebeugt. </w:t>
      </w:r>
    </w:p>
    <w:p w14:paraId="1A8D51BE" w14:textId="77777777" w:rsidR="00C3054F" w:rsidRPr="007063ED" w:rsidRDefault="00C3054F" w:rsidP="00937683">
      <w:pPr>
        <w:pStyle w:val="Presse-Fliesstext"/>
        <w:rPr>
          <w:lang w:val="de-DE" w:eastAsia="de-DE"/>
        </w:rPr>
      </w:pPr>
    </w:p>
    <w:p w14:paraId="17327A40" w14:textId="77777777" w:rsidR="00504B44" w:rsidRPr="007063ED" w:rsidRDefault="007371A0" w:rsidP="00937683">
      <w:pPr>
        <w:pStyle w:val="Presse-Fliesstext"/>
        <w:rPr>
          <w:lang w:val="de-DE" w:eastAsia="de-DE"/>
        </w:rPr>
      </w:pPr>
      <w:r w:rsidRPr="007063ED">
        <w:rPr>
          <w:b/>
          <w:bCs/>
          <w:lang w:val="de-DE" w:eastAsia="de-DE"/>
        </w:rPr>
        <w:t>Zusätzliche Featur</w:t>
      </w:r>
      <w:r w:rsidR="00412DF4" w:rsidRPr="007063ED">
        <w:rPr>
          <w:b/>
          <w:bCs/>
          <w:lang w:val="de-DE" w:eastAsia="de-DE"/>
        </w:rPr>
        <w:t>es,</w:t>
      </w:r>
      <w:r w:rsidRPr="007063ED">
        <w:rPr>
          <w:lang w:val="de-DE" w:eastAsia="de-DE"/>
        </w:rPr>
        <w:t xml:space="preserve"> wie z.B. eine Entlüftung</w:t>
      </w:r>
      <w:r w:rsidR="00412DF4" w:rsidRPr="007063ED">
        <w:rPr>
          <w:lang w:val="de-DE" w:eastAsia="de-DE"/>
        </w:rPr>
        <w:t xml:space="preserve"> direkt</w:t>
      </w:r>
      <w:r w:rsidRPr="007063ED">
        <w:rPr>
          <w:lang w:val="de-DE" w:eastAsia="de-DE"/>
        </w:rPr>
        <w:t xml:space="preserve"> am </w:t>
      </w:r>
      <w:r w:rsidR="00412DF4" w:rsidRPr="007063ED">
        <w:rPr>
          <w:lang w:val="de-DE" w:eastAsia="de-DE"/>
        </w:rPr>
        <w:t>Kartuschen Adapter</w:t>
      </w:r>
      <w:r w:rsidRPr="007063ED">
        <w:rPr>
          <w:lang w:val="de-DE" w:eastAsia="de-DE"/>
        </w:rPr>
        <w:t xml:space="preserve"> und ein konstanter Materialeingangsdruck ermöglichen eine einfache Handhabung</w:t>
      </w:r>
      <w:r w:rsidR="00412DF4" w:rsidRPr="007063ED">
        <w:rPr>
          <w:lang w:val="de-DE" w:eastAsia="de-DE"/>
        </w:rPr>
        <w:t>. B</w:t>
      </w:r>
      <w:r w:rsidRPr="007063ED">
        <w:rPr>
          <w:lang w:val="de-DE" w:eastAsia="de-DE"/>
        </w:rPr>
        <w:t>ei Materialwechsel</w:t>
      </w:r>
      <w:r w:rsidR="00412DF4" w:rsidRPr="007063ED">
        <w:rPr>
          <w:lang w:val="de-DE" w:eastAsia="de-DE"/>
        </w:rPr>
        <w:t xml:space="preserve">n werden Luftblasen eliminiert und es gibt keine Unterbrechung durch Materialabriss – für </w:t>
      </w:r>
      <w:r w:rsidRPr="007063ED">
        <w:rPr>
          <w:lang w:val="de-DE" w:eastAsia="de-DE"/>
        </w:rPr>
        <w:t>einen stabilen Dosierprozess.</w:t>
      </w:r>
      <w:r w:rsidR="00937683" w:rsidRPr="007063ED">
        <w:rPr>
          <w:lang w:val="de-DE" w:eastAsia="de-DE"/>
        </w:rPr>
        <w:t xml:space="preserve"> </w:t>
      </w:r>
    </w:p>
    <w:p w14:paraId="40C66AB1" w14:textId="77777777" w:rsidR="00504B44" w:rsidRPr="007063ED" w:rsidRDefault="00504B44" w:rsidP="00937683">
      <w:pPr>
        <w:pStyle w:val="Presse-Fliesstext"/>
        <w:rPr>
          <w:lang w:val="de-DE" w:eastAsia="de-DE"/>
        </w:rPr>
      </w:pPr>
    </w:p>
    <w:p w14:paraId="605E56AF" w14:textId="068894F0" w:rsidR="00937683" w:rsidRPr="007063ED" w:rsidRDefault="00937683" w:rsidP="00937683">
      <w:pPr>
        <w:pStyle w:val="Presse-Fliesstext"/>
        <w:rPr>
          <w:lang w:val="de-DE" w:eastAsia="de-DE"/>
        </w:rPr>
      </w:pPr>
      <w:r w:rsidRPr="007063ED">
        <w:rPr>
          <w:lang w:val="de-DE" w:eastAsia="de-DE"/>
        </w:rPr>
        <w:t xml:space="preserve">Die eco-FEED ist für die gängigsten </w:t>
      </w:r>
      <w:r w:rsidR="00412DF4" w:rsidRPr="007063ED">
        <w:rPr>
          <w:lang w:val="de-DE" w:eastAsia="de-DE"/>
        </w:rPr>
        <w:t>Do</w:t>
      </w:r>
      <w:r w:rsidRPr="007063ED">
        <w:rPr>
          <w:lang w:val="de-DE" w:eastAsia="de-DE"/>
        </w:rPr>
        <w:t>ppelkammerkartusche</w:t>
      </w:r>
      <w:r w:rsidR="00412DF4" w:rsidRPr="007063ED">
        <w:rPr>
          <w:lang w:val="de-DE" w:eastAsia="de-DE"/>
        </w:rPr>
        <w:t xml:space="preserve">n </w:t>
      </w:r>
      <w:r w:rsidRPr="007063ED">
        <w:rPr>
          <w:lang w:val="de-DE" w:eastAsia="de-DE"/>
        </w:rPr>
        <w:t xml:space="preserve">Größen 200, 400 </w:t>
      </w:r>
      <w:r w:rsidR="00412DF4" w:rsidRPr="007063ED">
        <w:rPr>
          <w:lang w:val="de-DE" w:eastAsia="de-DE"/>
        </w:rPr>
        <w:t>und</w:t>
      </w:r>
      <w:r w:rsidRPr="007063ED">
        <w:rPr>
          <w:lang w:val="de-DE" w:eastAsia="de-DE"/>
        </w:rPr>
        <w:t xml:space="preserve"> 490 ml </w:t>
      </w:r>
      <w:r w:rsidR="00412DF4" w:rsidRPr="007063ED">
        <w:rPr>
          <w:lang w:val="de-DE" w:eastAsia="de-DE"/>
        </w:rPr>
        <w:t>geeignet. Dosiert werden kann mit M</w:t>
      </w:r>
      <w:r w:rsidRPr="007063ED">
        <w:rPr>
          <w:lang w:val="de-DE" w:eastAsia="de-DE"/>
        </w:rPr>
        <w:t>ischungsverhältnissen</w:t>
      </w:r>
      <w:r w:rsidR="00412DF4" w:rsidRPr="007063ED">
        <w:rPr>
          <w:lang w:val="de-DE" w:eastAsia="de-DE"/>
        </w:rPr>
        <w:t xml:space="preserve"> von</w:t>
      </w:r>
      <w:r w:rsidRPr="007063ED">
        <w:rPr>
          <w:lang w:val="de-DE" w:eastAsia="de-DE"/>
        </w:rPr>
        <w:t xml:space="preserve"> 1:1</w:t>
      </w:r>
      <w:r w:rsidR="00412DF4" w:rsidRPr="007063ED">
        <w:rPr>
          <w:lang w:val="de-DE" w:eastAsia="de-DE"/>
        </w:rPr>
        <w:t xml:space="preserve"> bis </w:t>
      </w:r>
      <w:r w:rsidRPr="007063ED">
        <w:rPr>
          <w:lang w:val="de-DE" w:eastAsia="de-DE"/>
        </w:rPr>
        <w:t>2:1 und 4:1</w:t>
      </w:r>
      <w:r w:rsidR="00412DF4" w:rsidRPr="007063ED">
        <w:rPr>
          <w:lang w:val="de-DE" w:eastAsia="de-DE"/>
        </w:rPr>
        <w:t xml:space="preserve"> bis </w:t>
      </w:r>
      <w:r w:rsidRPr="007063ED">
        <w:rPr>
          <w:lang w:val="de-DE" w:eastAsia="de-DE"/>
        </w:rPr>
        <w:t>10:1</w:t>
      </w:r>
      <w:r w:rsidR="00412DF4" w:rsidRPr="007063ED">
        <w:rPr>
          <w:lang w:val="de-DE" w:eastAsia="de-DE"/>
        </w:rPr>
        <w:t xml:space="preserve">. Auf Anfrage kann das System </w:t>
      </w:r>
      <w:r w:rsidRPr="007063ED">
        <w:rPr>
          <w:lang w:val="de-DE" w:eastAsia="de-DE"/>
        </w:rPr>
        <w:t>flexibel angepasst werden</w:t>
      </w:r>
      <w:r w:rsidR="00697F8C" w:rsidRPr="007063ED">
        <w:rPr>
          <w:lang w:val="de-DE" w:eastAsia="de-DE"/>
        </w:rPr>
        <w:t xml:space="preserve"> – </w:t>
      </w:r>
      <w:r w:rsidR="00412DF4" w:rsidRPr="007063ED">
        <w:rPr>
          <w:lang w:val="de-DE" w:eastAsia="de-DE"/>
        </w:rPr>
        <w:t>auch auf weitere Kartuschen Größen</w:t>
      </w:r>
      <w:r w:rsidRPr="007063ED">
        <w:rPr>
          <w:lang w:val="de-DE" w:eastAsia="de-DE"/>
        </w:rPr>
        <w:t>.</w:t>
      </w:r>
      <w:r w:rsidR="00412DF4" w:rsidRPr="007063ED">
        <w:rPr>
          <w:lang w:val="de-DE" w:eastAsia="de-DE"/>
        </w:rPr>
        <w:t xml:space="preserve"> Fragen Sie gerne nach!</w:t>
      </w:r>
    </w:p>
    <w:p w14:paraId="42DC19E8" w14:textId="77777777" w:rsidR="00937683" w:rsidRPr="007063ED" w:rsidRDefault="00937683" w:rsidP="000F053C">
      <w:pPr>
        <w:pStyle w:val="Presse-Fliesstext"/>
        <w:rPr>
          <w:lang w:val="de-DE" w:eastAsia="de-DE"/>
        </w:rPr>
      </w:pPr>
    </w:p>
    <w:p w14:paraId="6F5D87DE" w14:textId="7C906589" w:rsidR="00974CD8" w:rsidRPr="007063ED" w:rsidRDefault="006620D0" w:rsidP="00A1611B">
      <w:r w:rsidRPr="007063ED">
        <w:t>3.</w:t>
      </w:r>
      <w:r w:rsidR="00297A44">
        <w:t>977</w:t>
      </w:r>
      <w:r w:rsidR="00974CD8" w:rsidRPr="007063ED">
        <w:rPr>
          <w:color w:val="FF0000"/>
        </w:rPr>
        <w:t xml:space="preserve"> </w:t>
      </w:r>
      <w:r w:rsidR="00974CD8" w:rsidRPr="007063ED">
        <w:t>Zeichen inkl. Leerzeichen. Abdruck honorarfrei. Beleg erbeten.</w:t>
      </w:r>
    </w:p>
    <w:p w14:paraId="277933AA" w14:textId="77777777" w:rsidR="00412DF4" w:rsidRPr="007063ED" w:rsidRDefault="00412DF4" w:rsidP="00A1611B">
      <w:pPr>
        <w:pStyle w:val="Untertitel"/>
        <w:rPr>
          <w:lang w:val="de-DE"/>
        </w:rPr>
      </w:pPr>
    </w:p>
    <w:p w14:paraId="0BD2B68A" w14:textId="1A409A53" w:rsidR="00A1611B" w:rsidRPr="007063ED" w:rsidRDefault="00440F2B" w:rsidP="00A1611B">
      <w:pPr>
        <w:pStyle w:val="Untertitel"/>
        <w:rPr>
          <w:lang w:val="de-DE"/>
        </w:rPr>
      </w:pPr>
      <w:r w:rsidRPr="007063ED">
        <w:rPr>
          <w:lang w:val="de-DE"/>
        </w:rPr>
        <w:t>Bildmaterial</w:t>
      </w:r>
      <w:r w:rsidR="00A1611B" w:rsidRPr="007063ED">
        <w:rPr>
          <w:lang w:val="de-DE"/>
        </w:rPr>
        <w:t>:</w:t>
      </w:r>
    </w:p>
    <w:p w14:paraId="2DB183CE" w14:textId="0CC585CA" w:rsidR="00974CD8" w:rsidRPr="007063ED" w:rsidRDefault="00E91A19" w:rsidP="001032C4">
      <w:r>
        <w:rPr>
          <w:noProof/>
        </w:rPr>
        <w:drawing>
          <wp:inline distT="0" distB="0" distL="0" distR="0" wp14:anchorId="55EDDBB5" wp14:editId="117A13E6">
            <wp:extent cx="2590800" cy="1945033"/>
            <wp:effectExtent l="19050" t="19050" r="19050" b="171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92376" cy="1946216"/>
                    </a:xfrm>
                    <a:prstGeom prst="rect">
                      <a:avLst/>
                    </a:prstGeom>
                    <a:noFill/>
                    <a:ln>
                      <a:solidFill>
                        <a:srgbClr val="00B0F0"/>
                      </a:solidFill>
                    </a:ln>
                  </pic:spPr>
                </pic:pic>
              </a:graphicData>
            </a:graphic>
          </wp:inline>
        </w:drawing>
      </w:r>
      <w:r>
        <w:t xml:space="preserve">   </w:t>
      </w:r>
    </w:p>
    <w:p w14:paraId="0E1A4E1B" w14:textId="60508EEE" w:rsidR="00974CD8" w:rsidRPr="007063ED" w:rsidRDefault="00AC1DD2" w:rsidP="00A1611B">
      <w:pPr>
        <w:pStyle w:val="Bildunterschrift"/>
        <w:rPr>
          <w:lang w:val="de-DE"/>
        </w:rPr>
      </w:pPr>
      <w:r w:rsidRPr="007063ED">
        <w:rPr>
          <w:lang w:val="de-DE"/>
        </w:rPr>
        <w:t>eco-FEED mit 400</w:t>
      </w:r>
      <w:r w:rsidR="000A584D">
        <w:rPr>
          <w:lang w:val="de-DE"/>
        </w:rPr>
        <w:t xml:space="preserve"> </w:t>
      </w:r>
      <w:r w:rsidRPr="007063ED">
        <w:rPr>
          <w:lang w:val="de-DE"/>
        </w:rPr>
        <w:t xml:space="preserve">ml Doppelkammerkartusche und </w:t>
      </w:r>
      <w:r w:rsidR="007C5CB3">
        <w:rPr>
          <w:lang w:val="de-DE"/>
        </w:rPr>
        <w:t xml:space="preserve">einem </w:t>
      </w:r>
      <w:r w:rsidRPr="007063ED">
        <w:rPr>
          <w:lang w:val="de-DE"/>
        </w:rPr>
        <w:t>Mischungsverhältnis</w:t>
      </w:r>
      <w:r w:rsidR="007C5CB3">
        <w:rPr>
          <w:lang w:val="de-DE"/>
        </w:rPr>
        <w:t xml:space="preserve"> von </w:t>
      </w:r>
      <w:r w:rsidR="007C5CB3" w:rsidRPr="007063ED">
        <w:rPr>
          <w:lang w:val="de-DE"/>
        </w:rPr>
        <w:t>2:1</w:t>
      </w:r>
    </w:p>
    <w:p w14:paraId="72F9AAE6" w14:textId="6F1E206E" w:rsidR="001032C4" w:rsidRDefault="001032C4" w:rsidP="00A1611B">
      <w:pPr>
        <w:pStyle w:val="Bildunterschrift"/>
        <w:rPr>
          <w:lang w:val="de-DE"/>
        </w:rPr>
      </w:pPr>
    </w:p>
    <w:p w14:paraId="71CF04EF" w14:textId="2DFD3119" w:rsidR="001032C4" w:rsidRPr="007063ED" w:rsidRDefault="001032C4" w:rsidP="00A1611B">
      <w:pPr>
        <w:pStyle w:val="Bildunterschrift"/>
        <w:rPr>
          <w:lang w:val="de-DE"/>
        </w:rPr>
      </w:pPr>
      <w:r>
        <w:rPr>
          <w:noProof/>
          <w:lang w:val="de-DE"/>
        </w:rPr>
        <w:drawing>
          <wp:inline distT="0" distB="0" distL="0" distR="0" wp14:anchorId="655151B0" wp14:editId="7BB7C352">
            <wp:extent cx="2530739" cy="3371804"/>
            <wp:effectExtent l="19050" t="19050" r="22225" b="196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32138" cy="3373668"/>
                    </a:xfrm>
                    <a:prstGeom prst="rect">
                      <a:avLst/>
                    </a:prstGeom>
                    <a:noFill/>
                    <a:ln>
                      <a:solidFill>
                        <a:srgbClr val="00B0F0"/>
                      </a:solidFill>
                    </a:ln>
                  </pic:spPr>
                </pic:pic>
              </a:graphicData>
            </a:graphic>
          </wp:inline>
        </w:drawing>
      </w:r>
    </w:p>
    <w:p w14:paraId="54DA8734" w14:textId="06D9143B" w:rsidR="0062022C" w:rsidRPr="007063ED" w:rsidRDefault="001032C4" w:rsidP="00A1611B">
      <w:pPr>
        <w:pStyle w:val="Bildunterschrift"/>
        <w:rPr>
          <w:lang w:val="de-DE"/>
        </w:rPr>
      </w:pPr>
      <w:r>
        <w:rPr>
          <w:lang w:val="de-DE"/>
        </w:rPr>
        <w:t xml:space="preserve">preeflow </w:t>
      </w:r>
      <w:r w:rsidRPr="00EC1397">
        <w:rPr>
          <w:lang w:val="de-DE"/>
        </w:rPr>
        <w:t>eco-FEED</w:t>
      </w:r>
      <w:r>
        <w:rPr>
          <w:lang w:val="de-DE"/>
        </w:rPr>
        <w:t>: E</w:t>
      </w:r>
      <w:r w:rsidRPr="00EC1397">
        <w:rPr>
          <w:lang w:val="de-DE"/>
        </w:rPr>
        <w:t xml:space="preserve">in vollautomatisches, pneumatisches Kartuschen </w:t>
      </w:r>
      <w:proofErr w:type="spellStart"/>
      <w:r w:rsidRPr="00EC1397">
        <w:rPr>
          <w:lang w:val="de-DE"/>
        </w:rPr>
        <w:t>Entleer</w:t>
      </w:r>
      <w:r>
        <w:rPr>
          <w:lang w:val="de-DE"/>
        </w:rPr>
        <w:t>s</w:t>
      </w:r>
      <w:r w:rsidRPr="00EC1397">
        <w:rPr>
          <w:lang w:val="de-DE"/>
        </w:rPr>
        <w:t>ystem</w:t>
      </w:r>
      <w:proofErr w:type="spellEnd"/>
      <w:r>
        <w:rPr>
          <w:lang w:val="de-DE"/>
        </w:rPr>
        <w:t>.</w:t>
      </w:r>
    </w:p>
    <w:p w14:paraId="26DDB029" w14:textId="77777777" w:rsidR="001032C4" w:rsidRDefault="001032C4" w:rsidP="00A1611B">
      <w:pPr>
        <w:pStyle w:val="Untertitel"/>
        <w:rPr>
          <w:lang w:val="de-DE"/>
        </w:rPr>
      </w:pPr>
    </w:p>
    <w:p w14:paraId="2233143D" w14:textId="2F067C5C" w:rsidR="00D56D5D" w:rsidRPr="007063ED" w:rsidRDefault="00D56D5D" w:rsidP="00A1611B">
      <w:pPr>
        <w:pStyle w:val="Untertitel"/>
        <w:rPr>
          <w:lang w:val="de-DE"/>
        </w:rPr>
      </w:pPr>
      <w:r w:rsidRPr="007063ED">
        <w:rPr>
          <w:lang w:val="de-DE"/>
        </w:rPr>
        <w:lastRenderedPageBreak/>
        <w:t>Mikrodosierung in Perfektion!</w:t>
      </w:r>
    </w:p>
    <w:p w14:paraId="1C9C2501" w14:textId="6823155B" w:rsidR="000F053C" w:rsidRPr="007063ED" w:rsidRDefault="000F053C" w:rsidP="000F053C">
      <w:r w:rsidRPr="007063ED">
        <w:t>preeflow</w:t>
      </w:r>
      <w:r w:rsidRPr="007063ED">
        <w:rPr>
          <w:vertAlign w:val="superscript"/>
        </w:rPr>
        <w:t>®</w:t>
      </w:r>
      <w:r w:rsidRPr="007063ED">
        <w:t xml:space="preserve"> ist eine Marke der ViscoTec Pumpen- u. Dosiertechnik GmbH. ViscoTec beschäftigt sich vorwiegend mit Anlagen, die zur Förderung, Dosierung, Auftragung, Abfüllung und der Entnahme von mittelviskosen </w:t>
      </w:r>
      <w:proofErr w:type="gramStart"/>
      <w:r w:rsidRPr="007063ED">
        <w:t>bis hochviskosen Medien</w:t>
      </w:r>
      <w:proofErr w:type="gramEnd"/>
      <w:r w:rsidRPr="007063ED">
        <w:t xml:space="preserve"> benötigt werden. Der Hauptsitz des technologischen Marktführers ist in Töging (Oberbayern, Kreis Altötting). Darüber hinaus verfügt ViscoTec über Niederlassungen in den USA, in China, Singapur, Indien und Frankreich und beschäftigt weltweit rund 260 Mitarbeiter. Die Marke preeflow</w:t>
      </w:r>
      <w:r w:rsidRPr="007063ED">
        <w:rPr>
          <w:vertAlign w:val="superscript"/>
        </w:rPr>
        <w:t>®</w:t>
      </w:r>
      <w:r w:rsidRPr="007063ED">
        <w:t xml:space="preserve"> steht für präzises, rein volumetrisches Dosieren von Flüssigkeiten in Kleinstmengen und entstand im Jahr 2008. Weltweit werden preeflow</w:t>
      </w:r>
      <w:r w:rsidRPr="007063ED">
        <w:rPr>
          <w:vertAlign w:val="superscript"/>
        </w:rPr>
        <w:t>®</w:t>
      </w:r>
      <w:r w:rsidRPr="007063ED">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Pr="007063ED">
        <w:rPr>
          <w:vertAlign w:val="superscript"/>
        </w:rPr>
        <w:t>®</w:t>
      </w:r>
      <w:r w:rsidRPr="007063ED">
        <w:t xml:space="preserve"> Systeme lassen sich dank standardisierter Schnittstellen einfach integrieren. Weltweit arbeiten über 20.000 preeflow</w:t>
      </w:r>
      <w:r w:rsidRPr="007063ED">
        <w:rPr>
          <w:vertAlign w:val="superscript"/>
        </w:rPr>
        <w:t>®</w:t>
      </w:r>
      <w:r w:rsidRPr="007063ED">
        <w:t xml:space="preserve"> Systeme in halb- oder vollautomatischen Dosieranwendungen zur vollsten Zufriedenheit der Anwender und Kunden. </w:t>
      </w:r>
    </w:p>
    <w:p w14:paraId="2D445DB9" w14:textId="77777777" w:rsidR="00BD097C" w:rsidRPr="007063ED" w:rsidRDefault="00BD097C" w:rsidP="00A1611B"/>
    <w:p w14:paraId="32CC4B30" w14:textId="77777777" w:rsidR="00BD097C" w:rsidRPr="007063ED" w:rsidRDefault="00BD097C" w:rsidP="00A1611B"/>
    <w:p w14:paraId="626D4721" w14:textId="77777777" w:rsidR="00BD097C" w:rsidRPr="007063ED" w:rsidRDefault="00BD097C" w:rsidP="00A1611B">
      <w:pPr>
        <w:pStyle w:val="Untertitel"/>
        <w:rPr>
          <w:lang w:val="de-DE"/>
        </w:rPr>
      </w:pPr>
      <w:r w:rsidRPr="007063ED">
        <w:rPr>
          <w:lang w:val="de-DE"/>
        </w:rPr>
        <w:t>Pressekontakt:</w:t>
      </w:r>
    </w:p>
    <w:p w14:paraId="154E9CE6" w14:textId="77777777" w:rsidR="000F053C" w:rsidRPr="007063ED" w:rsidRDefault="000F053C" w:rsidP="000F053C">
      <w:pPr>
        <w:spacing w:after="0"/>
      </w:pPr>
      <w:r w:rsidRPr="007063ED">
        <w:t>Thomas Diringer, Leiter Geschäftsfeld Components &amp; Devices</w:t>
      </w:r>
    </w:p>
    <w:p w14:paraId="03E5EA37" w14:textId="77777777" w:rsidR="000F053C" w:rsidRPr="007063ED" w:rsidRDefault="000F053C" w:rsidP="000F053C">
      <w:pPr>
        <w:spacing w:after="0"/>
      </w:pPr>
      <w:r w:rsidRPr="007063ED">
        <w:t>ViscoTec Pumpen- u. Dosiertechnik GmbH</w:t>
      </w:r>
    </w:p>
    <w:p w14:paraId="2656FE79" w14:textId="77777777" w:rsidR="000F053C" w:rsidRPr="007063ED" w:rsidRDefault="000F053C" w:rsidP="000F053C">
      <w:pPr>
        <w:spacing w:after="0"/>
      </w:pPr>
      <w:proofErr w:type="spellStart"/>
      <w:r w:rsidRPr="007063ED">
        <w:t>Amperstraße</w:t>
      </w:r>
      <w:proofErr w:type="spellEnd"/>
      <w:r w:rsidRPr="007063ED">
        <w:t xml:space="preserve"> 13, D-84513 Töging a. Inn</w:t>
      </w:r>
    </w:p>
    <w:p w14:paraId="726D2E29" w14:textId="77777777" w:rsidR="000F053C" w:rsidRPr="007063ED" w:rsidRDefault="000F053C" w:rsidP="000F053C">
      <w:pPr>
        <w:spacing w:after="0"/>
      </w:pPr>
      <w:r w:rsidRPr="007063ED">
        <w:t xml:space="preserve">Telefon +49 8631 9274-441 </w:t>
      </w:r>
    </w:p>
    <w:p w14:paraId="6190E2AA" w14:textId="77777777" w:rsidR="000F053C" w:rsidRPr="007063ED" w:rsidRDefault="000F053C" w:rsidP="000F053C">
      <w:pPr>
        <w:spacing w:after="0"/>
      </w:pPr>
      <w:r w:rsidRPr="007063ED">
        <w:t>E-Mail: thomas.diringer@viscotec.de · www.preeflow.com</w:t>
      </w:r>
    </w:p>
    <w:p w14:paraId="0E5472B2" w14:textId="77777777" w:rsidR="000F053C" w:rsidRPr="007063ED" w:rsidRDefault="000F053C" w:rsidP="000F053C">
      <w:pPr>
        <w:spacing w:after="0"/>
      </w:pPr>
    </w:p>
    <w:p w14:paraId="58C0CF75" w14:textId="77777777" w:rsidR="000F053C" w:rsidRPr="007063ED" w:rsidRDefault="000F053C" w:rsidP="000F053C">
      <w:pPr>
        <w:spacing w:after="0"/>
      </w:pPr>
      <w:r w:rsidRPr="007063ED">
        <w:t>Melanie Hintereder, Marketing</w:t>
      </w:r>
    </w:p>
    <w:p w14:paraId="77E3AF91" w14:textId="77777777" w:rsidR="000F053C" w:rsidRPr="007063ED" w:rsidRDefault="000F053C" w:rsidP="000F053C">
      <w:pPr>
        <w:spacing w:after="0"/>
      </w:pPr>
      <w:r w:rsidRPr="007063ED">
        <w:t>ViscoTec Pumpen- u. Dosiertechnik GmbH</w:t>
      </w:r>
    </w:p>
    <w:p w14:paraId="74D33560" w14:textId="77777777" w:rsidR="000F053C" w:rsidRPr="007063ED" w:rsidRDefault="000F053C" w:rsidP="000F053C">
      <w:pPr>
        <w:spacing w:after="0"/>
      </w:pPr>
      <w:proofErr w:type="spellStart"/>
      <w:r w:rsidRPr="007063ED">
        <w:t>Amperstraße</w:t>
      </w:r>
      <w:proofErr w:type="spellEnd"/>
      <w:r w:rsidRPr="007063ED">
        <w:t xml:space="preserve"> 13, D-84513 Töging a. Inn</w:t>
      </w:r>
    </w:p>
    <w:p w14:paraId="65B38CB3" w14:textId="77777777" w:rsidR="000F053C" w:rsidRPr="007063ED" w:rsidRDefault="000F053C" w:rsidP="000F053C">
      <w:pPr>
        <w:spacing w:after="0"/>
      </w:pPr>
      <w:r w:rsidRPr="007063ED">
        <w:t xml:space="preserve">Telefon +49 8631 9274-404 </w:t>
      </w:r>
    </w:p>
    <w:p w14:paraId="34298D5D" w14:textId="77777777" w:rsidR="000F053C" w:rsidRPr="007063ED" w:rsidRDefault="000F053C" w:rsidP="000F053C">
      <w:pPr>
        <w:spacing w:after="0"/>
      </w:pPr>
      <w:r w:rsidRPr="007063ED">
        <w:t>E-Mail: melanie.hintereder@viscotec.de · www.viscotec.de</w:t>
      </w:r>
    </w:p>
    <w:p w14:paraId="3920F690" w14:textId="77777777" w:rsidR="0050565F" w:rsidRPr="007063ED" w:rsidRDefault="0050565F" w:rsidP="00A1611B"/>
    <w:p w14:paraId="409FBA9E" w14:textId="77777777" w:rsidR="00207D48" w:rsidRPr="007063ED" w:rsidRDefault="00207D48" w:rsidP="00A1611B"/>
    <w:p w14:paraId="4AC7241A" w14:textId="77777777" w:rsidR="00207D48" w:rsidRPr="007063ED" w:rsidRDefault="00207D48" w:rsidP="00A1611B"/>
    <w:sectPr w:rsidR="00207D48" w:rsidRPr="007063ED" w:rsidSect="00C82731">
      <w:headerReference w:type="default" r:id="rId13"/>
      <w:footerReference w:type="default" r:id="rId14"/>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04CDA" w14:textId="77777777" w:rsidR="00C036DC" w:rsidRDefault="00C036DC" w:rsidP="00A1611B">
      <w:r>
        <w:separator/>
      </w:r>
    </w:p>
  </w:endnote>
  <w:endnote w:type="continuationSeparator" w:id="0">
    <w:p w14:paraId="3445D81C" w14:textId="77777777" w:rsidR="00C036DC" w:rsidRDefault="00C036DC"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3257C" w14:textId="77777777" w:rsidR="00A1611B" w:rsidRPr="00A1611B" w:rsidRDefault="00A1611B" w:rsidP="00A1611B">
    <w:pPr>
      <w:spacing w:after="0" w:line="240" w:lineRule="auto"/>
      <w:rPr>
        <w:noProof/>
        <w:sz w:val="14"/>
        <w:szCs w:val="14"/>
      </w:rPr>
    </w:pPr>
  </w:p>
  <w:p w14:paraId="7BD1E4C1"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20D9260F" wp14:editId="4595D3C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938321"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3E41B0BB" w14:textId="77777777" w:rsidR="00A1611B" w:rsidRPr="00A1611B" w:rsidRDefault="00A1611B" w:rsidP="00A1611B">
    <w:pPr>
      <w:spacing w:after="0" w:line="240" w:lineRule="auto"/>
      <w:rPr>
        <w:noProof/>
        <w:sz w:val="14"/>
        <w:szCs w:val="14"/>
      </w:rPr>
    </w:pPr>
  </w:p>
  <w:p w14:paraId="7925D012" w14:textId="77777777" w:rsidR="00C82731" w:rsidRPr="00A1611B" w:rsidRDefault="009C38DB" w:rsidP="00A1611B">
    <w:pPr>
      <w:pStyle w:val="Fusszeile"/>
    </w:pPr>
    <w:r>
      <w:rPr>
        <w:color w:val="7F7F7F"/>
      </w:rPr>
      <w:tab/>
    </w:r>
    <w:r w:rsidR="00C82731" w:rsidRPr="00A1611B">
      <w:rPr>
        <w:color w:val="7F7F7F"/>
      </w:rPr>
      <w:tab/>
    </w:r>
    <w:r w:rsidR="00C82731" w:rsidRPr="00A1611B">
      <w:t xml:space="preserve"> </w:t>
    </w:r>
    <w:r w:rsidR="00C82731" w:rsidRPr="00A1611B">
      <w:rPr>
        <w:color w:val="7F7F7F"/>
      </w:rPr>
      <w:tab/>
    </w:r>
    <w:r w:rsidR="00A1611B">
      <w:t xml:space="preserve">                                                                 </w:t>
    </w:r>
    <w:r w:rsidR="00C82731" w:rsidRPr="00A1611B">
      <w:t xml:space="preserve">Seite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rsidR="00C82731" w:rsidRPr="00A1611B">
      <w:t xml:space="preserve"> von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3AAC3016" w14:textId="77777777" w:rsidR="00A1611B" w:rsidRPr="00A1611B" w:rsidRDefault="00A1611B" w:rsidP="00A1611B">
    <w:pPr>
      <w:pStyle w:val="Fusszeile"/>
    </w:pPr>
  </w:p>
  <w:p w14:paraId="7ABD850B"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53A5FB05"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95FFA" w14:textId="77777777" w:rsidR="00C036DC" w:rsidRDefault="00C036DC" w:rsidP="00A1611B">
      <w:r>
        <w:separator/>
      </w:r>
    </w:p>
  </w:footnote>
  <w:footnote w:type="continuationSeparator" w:id="0">
    <w:p w14:paraId="71B6C904" w14:textId="77777777" w:rsidR="00C036DC" w:rsidRDefault="00C036DC"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82DE9"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4954B5B8" wp14:editId="51CC2CA2">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48C61205" w14:textId="77777777" w:rsidR="006B78C4" w:rsidRDefault="006B78C4" w:rsidP="00A1611B">
    <w:pPr>
      <w:pStyle w:val="Kopfzeile"/>
    </w:pPr>
  </w:p>
  <w:p w14:paraId="71AE2381" w14:textId="77777777" w:rsidR="006B78C4" w:rsidRDefault="006B78C4" w:rsidP="00A1611B">
    <w:pPr>
      <w:pStyle w:val="Kopfzeile"/>
    </w:pPr>
  </w:p>
  <w:p w14:paraId="4094F5F6" w14:textId="77777777" w:rsidR="006B78C4" w:rsidRDefault="006B78C4" w:rsidP="00A1611B">
    <w:pPr>
      <w:pStyle w:val="Kopfzeile"/>
    </w:pPr>
  </w:p>
  <w:p w14:paraId="2DACC000" w14:textId="77777777" w:rsidR="006B78C4" w:rsidRDefault="006B78C4" w:rsidP="00A1611B">
    <w:pPr>
      <w:pStyle w:val="Kopfzeile"/>
    </w:pPr>
  </w:p>
  <w:p w14:paraId="574E8D7A" w14:textId="77777777" w:rsidR="006B78C4" w:rsidRPr="00BD6574" w:rsidRDefault="006B78C4" w:rsidP="00A1611B">
    <w:pPr>
      <w:pStyle w:val="KopfzeileHeadline"/>
    </w:pPr>
    <w:r w:rsidRPr="00BD6574">
      <w:t>PRESSEMITTEILUNG</w:t>
    </w:r>
  </w:p>
  <w:p w14:paraId="7B96541D" w14:textId="77777777" w:rsidR="006B78C4" w:rsidRDefault="006B78C4" w:rsidP="00A1611B">
    <w:pPr>
      <w:pStyle w:val="Kopfzeile"/>
    </w:pPr>
  </w:p>
  <w:p w14:paraId="5125D1B9" w14:textId="77777777" w:rsidR="006B78C4" w:rsidRDefault="006B78C4" w:rsidP="00A1611B">
    <w:pPr>
      <w:pStyle w:val="Kopfzeile"/>
    </w:pPr>
  </w:p>
  <w:p w14:paraId="32EB8358"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B37ED"/>
    <w:multiLevelType w:val="hybridMultilevel"/>
    <w:tmpl w:val="B8B6CD78"/>
    <w:lvl w:ilvl="0" w:tplc="13C6D11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AFA"/>
    <w:rsid w:val="00051241"/>
    <w:rsid w:val="000563CC"/>
    <w:rsid w:val="0007129F"/>
    <w:rsid w:val="00083189"/>
    <w:rsid w:val="000A584D"/>
    <w:rsid w:val="000B283B"/>
    <w:rsid w:val="000B44E6"/>
    <w:rsid w:val="000D62EA"/>
    <w:rsid w:val="000D7869"/>
    <w:rsid w:val="000F053C"/>
    <w:rsid w:val="000F3990"/>
    <w:rsid w:val="00100CE6"/>
    <w:rsid w:val="001032C4"/>
    <w:rsid w:val="00111DFF"/>
    <w:rsid w:val="00165813"/>
    <w:rsid w:val="0018785A"/>
    <w:rsid w:val="0019178B"/>
    <w:rsid w:val="00207D48"/>
    <w:rsid w:val="00213097"/>
    <w:rsid w:val="00214BE3"/>
    <w:rsid w:val="00216DE4"/>
    <w:rsid w:val="00244933"/>
    <w:rsid w:val="00272493"/>
    <w:rsid w:val="00297A44"/>
    <w:rsid w:val="002A32F2"/>
    <w:rsid w:val="002B4444"/>
    <w:rsid w:val="002C1B58"/>
    <w:rsid w:val="002F206C"/>
    <w:rsid w:val="002F4BC4"/>
    <w:rsid w:val="00304C95"/>
    <w:rsid w:val="00346F0D"/>
    <w:rsid w:val="003802B5"/>
    <w:rsid w:val="003857C3"/>
    <w:rsid w:val="003A23BF"/>
    <w:rsid w:val="003A707A"/>
    <w:rsid w:val="003F17DB"/>
    <w:rsid w:val="00407B2A"/>
    <w:rsid w:val="00412DF4"/>
    <w:rsid w:val="00440F2B"/>
    <w:rsid w:val="004512B2"/>
    <w:rsid w:val="004779ED"/>
    <w:rsid w:val="004819F8"/>
    <w:rsid w:val="004E287D"/>
    <w:rsid w:val="004F0705"/>
    <w:rsid w:val="00502B11"/>
    <w:rsid w:val="00504B44"/>
    <w:rsid w:val="0050565F"/>
    <w:rsid w:val="00531861"/>
    <w:rsid w:val="00592CA1"/>
    <w:rsid w:val="005D059A"/>
    <w:rsid w:val="005F70BF"/>
    <w:rsid w:val="00610C87"/>
    <w:rsid w:val="0062022C"/>
    <w:rsid w:val="006473B3"/>
    <w:rsid w:val="006620D0"/>
    <w:rsid w:val="006742F6"/>
    <w:rsid w:val="00674E99"/>
    <w:rsid w:val="00697F8C"/>
    <w:rsid w:val="006A628C"/>
    <w:rsid w:val="006B78C4"/>
    <w:rsid w:val="006C1E2E"/>
    <w:rsid w:val="006C6AE2"/>
    <w:rsid w:val="006E2BC6"/>
    <w:rsid w:val="00706212"/>
    <w:rsid w:val="007063ED"/>
    <w:rsid w:val="00725769"/>
    <w:rsid w:val="00725A52"/>
    <w:rsid w:val="007371A0"/>
    <w:rsid w:val="00756476"/>
    <w:rsid w:val="00782414"/>
    <w:rsid w:val="0079149C"/>
    <w:rsid w:val="00791C50"/>
    <w:rsid w:val="00792007"/>
    <w:rsid w:val="007B55F3"/>
    <w:rsid w:val="007C5CB3"/>
    <w:rsid w:val="007C6E88"/>
    <w:rsid w:val="007E6CA0"/>
    <w:rsid w:val="00802D51"/>
    <w:rsid w:val="008179BD"/>
    <w:rsid w:val="008214E6"/>
    <w:rsid w:val="00833A14"/>
    <w:rsid w:val="0087508C"/>
    <w:rsid w:val="008B0A02"/>
    <w:rsid w:val="008F388C"/>
    <w:rsid w:val="00937683"/>
    <w:rsid w:val="00944E69"/>
    <w:rsid w:val="00974CD8"/>
    <w:rsid w:val="00992BE1"/>
    <w:rsid w:val="009A6CE5"/>
    <w:rsid w:val="009C38DB"/>
    <w:rsid w:val="009D0A72"/>
    <w:rsid w:val="00A02963"/>
    <w:rsid w:val="00A1611B"/>
    <w:rsid w:val="00A23D8E"/>
    <w:rsid w:val="00A44ECC"/>
    <w:rsid w:val="00A44ED8"/>
    <w:rsid w:val="00A67FBB"/>
    <w:rsid w:val="00A83B99"/>
    <w:rsid w:val="00A909C4"/>
    <w:rsid w:val="00AB374C"/>
    <w:rsid w:val="00AB4943"/>
    <w:rsid w:val="00AB6803"/>
    <w:rsid w:val="00AC080F"/>
    <w:rsid w:val="00AC1DD2"/>
    <w:rsid w:val="00B2015D"/>
    <w:rsid w:val="00B57F31"/>
    <w:rsid w:val="00B60D2C"/>
    <w:rsid w:val="00B943B2"/>
    <w:rsid w:val="00BD097C"/>
    <w:rsid w:val="00BD6574"/>
    <w:rsid w:val="00BE5D7F"/>
    <w:rsid w:val="00C036DC"/>
    <w:rsid w:val="00C05DAA"/>
    <w:rsid w:val="00C135DE"/>
    <w:rsid w:val="00C3054F"/>
    <w:rsid w:val="00C31DB9"/>
    <w:rsid w:val="00C65954"/>
    <w:rsid w:val="00C729D4"/>
    <w:rsid w:val="00C82731"/>
    <w:rsid w:val="00C83E1A"/>
    <w:rsid w:val="00C93794"/>
    <w:rsid w:val="00CA0969"/>
    <w:rsid w:val="00CA2F44"/>
    <w:rsid w:val="00CD306B"/>
    <w:rsid w:val="00CF08AA"/>
    <w:rsid w:val="00D130D4"/>
    <w:rsid w:val="00D505E0"/>
    <w:rsid w:val="00D520FF"/>
    <w:rsid w:val="00D559CF"/>
    <w:rsid w:val="00D56D5D"/>
    <w:rsid w:val="00D73442"/>
    <w:rsid w:val="00D844A5"/>
    <w:rsid w:val="00D87711"/>
    <w:rsid w:val="00DB081A"/>
    <w:rsid w:val="00DE1ACC"/>
    <w:rsid w:val="00DF6847"/>
    <w:rsid w:val="00E37913"/>
    <w:rsid w:val="00E41F83"/>
    <w:rsid w:val="00E43F6D"/>
    <w:rsid w:val="00E91A19"/>
    <w:rsid w:val="00EB69BA"/>
    <w:rsid w:val="00EC1397"/>
    <w:rsid w:val="00ED3E57"/>
    <w:rsid w:val="00EF7AD4"/>
    <w:rsid w:val="00F131E0"/>
    <w:rsid w:val="00F32AFA"/>
    <w:rsid w:val="00F52668"/>
    <w:rsid w:val="00F8390D"/>
    <w:rsid w:val="00FD42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FB3C68"/>
  <w15:docId w15:val="{DA366480-33D8-425E-B8E2-3A6B61AC2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0523">
      <w:bodyDiv w:val="1"/>
      <w:marLeft w:val="0"/>
      <w:marRight w:val="0"/>
      <w:marTop w:val="0"/>
      <w:marBottom w:val="0"/>
      <w:divBdr>
        <w:top w:val="none" w:sz="0" w:space="0" w:color="auto"/>
        <w:left w:val="none" w:sz="0" w:space="0" w:color="auto"/>
        <w:bottom w:val="none" w:sz="0" w:space="0" w:color="auto"/>
        <w:right w:val="none" w:sz="0" w:space="0" w:color="auto"/>
      </w:divBdr>
    </w:div>
    <w:div w:id="748698529">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51011102">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3.xml><?xml version="1.0" encoding="utf-8"?>
<ds:datastoreItem xmlns:ds="http://schemas.openxmlformats.org/officeDocument/2006/customXml" ds:itemID="{62C2E68F-A9A6-4AAE-BF94-D92C5E565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4</Pages>
  <Words>827</Words>
  <Characters>5213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Hochholzer, Thomas</dc:creator>
  <cp:lastModifiedBy>Hintereder, Melanie</cp:lastModifiedBy>
  <cp:revision>49</cp:revision>
  <dcterms:created xsi:type="dcterms:W3CDTF">2021-03-11T11:18:00Z</dcterms:created>
  <dcterms:modified xsi:type="dcterms:W3CDTF">2021-06-22T09:02:00Z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