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70C4E" w14:textId="163030FC" w:rsidR="00610C87" w:rsidRPr="006B78C4" w:rsidRDefault="00F77984" w:rsidP="00A1611B">
      <w:r>
        <w:rPr>
          <w:b/>
          <w:sz w:val="28"/>
        </w:rPr>
        <w:t>Potentiel d'optimisation des processus : focus sur l'aiguille de dosage</w:t>
      </w:r>
    </w:p>
    <w:p w14:paraId="20FCDA8C" w14:textId="05A7AB51" w:rsidR="00C135DE" w:rsidRPr="006B78C4" w:rsidRDefault="00F77984" w:rsidP="00A1611B">
      <w:r>
        <w:rPr>
          <w:b/>
        </w:rPr>
        <w:t>Comment assurer une qualité reproductible des produits fin</w:t>
      </w:r>
      <w:r w:rsidR="00955289">
        <w:rPr>
          <w:b/>
        </w:rPr>
        <w:t>is</w:t>
      </w:r>
    </w:p>
    <w:p w14:paraId="13DC80D2" w14:textId="77777777" w:rsidR="00F77984" w:rsidRDefault="00F77984" w:rsidP="00F77984">
      <w:r>
        <w:t xml:space="preserve">La pression de dosage produite est l'un des principaux paramètres du processus de dosage. Elle doit être contrôlable pour que les conditions générales de fonctionnement et de sécurité de la configuration soient optimales. </w:t>
      </w:r>
    </w:p>
    <w:p w14:paraId="0D46B822" w14:textId="644EDA5D" w:rsidR="00F77984" w:rsidRDefault="00F77984" w:rsidP="00F77984">
      <w:r>
        <w:t xml:space="preserve">Le meilleur exemple dans lequel la pression de dosage devient un paramètre critique est l'application de fluides en partie fortement visqueux et chargés en combinaison avec des débits élevés. Si les aiguilles de dosage utilisées ne sont pas optimales, par exemple si leur diamètre intérieur est trop petit, la pression augmente. En conséquence, le fluide est en partie </w:t>
      </w:r>
      <w:r w:rsidR="004423C9">
        <w:t>compressé</w:t>
      </w:r>
      <w:r>
        <w:t xml:space="preserve">. Il en résulte fréquemment un dosage peu </w:t>
      </w:r>
      <w:proofErr w:type="gramStart"/>
      <w:r>
        <w:t>précis</w:t>
      </w:r>
      <w:proofErr w:type="gramEnd"/>
      <w:r>
        <w:t xml:space="preserve"> et une reproductibilité insuffisante. La qualité du produit final n'est plus p</w:t>
      </w:r>
      <w:r w:rsidR="00E81205">
        <w:t>révisible</w:t>
      </w:r>
      <w:r>
        <w:t xml:space="preserve"> à 100 %.</w:t>
      </w:r>
    </w:p>
    <w:p w14:paraId="7DBF5DB8" w14:textId="5EBDE51D" w:rsidR="00F77984" w:rsidRDefault="00F77984" w:rsidP="00F77984">
      <w:r>
        <w:t>Dans ce contexte, il est donc recommandé de faire du choix de la bonne aiguille de dosage</w:t>
      </w:r>
      <w:r w:rsidR="00943450">
        <w:t xml:space="preserve"> -</w:t>
      </w:r>
      <w:r>
        <w:t xml:space="preserve"> c'est-à-dire de l'aiguille adaptée au processus et au fluide</w:t>
      </w:r>
      <w:r w:rsidR="00943450">
        <w:t xml:space="preserve"> -</w:t>
      </w:r>
      <w:r>
        <w:t xml:space="preserve"> une partie intégrante d'une évaluation avant de commencer le dosage.</w:t>
      </w:r>
    </w:p>
    <w:p w14:paraId="317B6809" w14:textId="589E57BD" w:rsidR="00F77984" w:rsidRDefault="00F77984" w:rsidP="00F77984">
      <w:r>
        <w:t>Les facteurs suivants doivent être pris en compte dans la décision : matériau constitutif de l'aiguille, géométrie interne et longueur de l'aiguille. Ces paramètres de l'aiguille influencent le résultat du dosage, donc la qualité du produit fin</w:t>
      </w:r>
      <w:r w:rsidR="00083B1C">
        <w:t>i</w:t>
      </w:r>
      <w:r>
        <w:t>. En outre, ces trois facteurs élargissent la gamme des paramètres du processus possibles et permettent ainsi au client de personnaliser davantage le processus de dosage.</w:t>
      </w:r>
    </w:p>
    <w:p w14:paraId="179DBCAD" w14:textId="69C6E722" w:rsidR="00F77984" w:rsidRDefault="00F77984" w:rsidP="00F77984">
      <w:r>
        <w:t>Avec les nouvelles aiguilles de dosage coniques en variantes bleu ciel (Ø intérieur 2 mm) et jaune (Ø intérieur 2,5 mm), les utilisateurs peuvent affiner encore davantage les conditions de dosage de leur processus d'application. Les diamètres intérieurs ou de sortie agrandis garantissent une configuration de dosage stable, donc une interaction harmonieuse optimale entre la vitesse de dosage et le débit volum</w:t>
      </w:r>
      <w:r w:rsidR="00CF6D79">
        <w:t>étrique</w:t>
      </w:r>
      <w:r w:rsidR="001D5317">
        <w:t>.</w:t>
      </w:r>
    </w:p>
    <w:p w14:paraId="195BF22C" w14:textId="67B1411E" w:rsidR="00F77984" w:rsidRDefault="00F77984" w:rsidP="00F77984">
      <w:r>
        <w:t xml:space="preserve">La série de tests suivante illustre ces relations sur un eco-PEN600. Le fluide utilisé pour les tests est le composant A d'un produit </w:t>
      </w:r>
      <w:r w:rsidR="00DF5968">
        <w:t>pour</w:t>
      </w:r>
      <w:r>
        <w:t xml:space="preserve"> </w:t>
      </w:r>
      <w:proofErr w:type="spellStart"/>
      <w:r w:rsidR="00DF5968">
        <w:t>potting</w:t>
      </w:r>
      <w:proofErr w:type="spellEnd"/>
      <w:r w:rsidR="00DF5968">
        <w:t xml:space="preserve"> standard</w:t>
      </w:r>
      <w:r>
        <w:t>. Au cours des tests, le débit volum</w:t>
      </w:r>
      <w:r w:rsidR="00DF5968">
        <w:t>étrique</w:t>
      </w:r>
      <w:r>
        <w:t xml:space="preserve"> a été modifié en combinaison avec différentes aiguilles de dosage. </w:t>
      </w:r>
    </w:p>
    <w:p w14:paraId="26DBA484" w14:textId="0AE34A24" w:rsidR="00F77984" w:rsidRDefault="00F77984" w:rsidP="00F77984">
      <w:r>
        <w:t>Les pressions suivantes ont été détectées :</w:t>
      </w:r>
    </w:p>
    <w:tbl>
      <w:tblPr>
        <w:tblStyle w:val="Tabellenraster"/>
        <w:tblW w:w="0" w:type="auto"/>
        <w:tblLook w:val="04A0" w:firstRow="1" w:lastRow="0" w:firstColumn="1" w:lastColumn="0" w:noHBand="0" w:noVBand="1"/>
      </w:tblPr>
      <w:tblGrid>
        <w:gridCol w:w="3351"/>
        <w:gridCol w:w="3351"/>
        <w:gridCol w:w="3351"/>
      </w:tblGrid>
      <w:tr w:rsidR="00F77984" w:rsidRPr="00B21AAA" w14:paraId="46E8A51E" w14:textId="77777777" w:rsidTr="000C0B3F">
        <w:tc>
          <w:tcPr>
            <w:tcW w:w="3351" w:type="dxa"/>
          </w:tcPr>
          <w:p w14:paraId="25C9E183" w14:textId="77777777" w:rsidR="00F77984" w:rsidRPr="00B21AAA" w:rsidRDefault="00F77984" w:rsidP="000C0B3F">
            <w:pPr>
              <w:pStyle w:val="Fliesstext"/>
            </w:pPr>
          </w:p>
        </w:tc>
        <w:tc>
          <w:tcPr>
            <w:tcW w:w="3351" w:type="dxa"/>
          </w:tcPr>
          <w:p w14:paraId="4CDD1BBB" w14:textId="77777777" w:rsidR="00F77984" w:rsidRPr="00B21AAA" w:rsidRDefault="00F77984" w:rsidP="000C0B3F">
            <w:pPr>
              <w:pStyle w:val="Fliesstext"/>
            </w:pPr>
            <w:r>
              <w:t>3,2 ml/min (20 %)</w:t>
            </w:r>
          </w:p>
        </w:tc>
        <w:tc>
          <w:tcPr>
            <w:tcW w:w="3351" w:type="dxa"/>
          </w:tcPr>
          <w:p w14:paraId="597DB72A" w14:textId="77777777" w:rsidR="00F77984" w:rsidRPr="00B21AAA" w:rsidRDefault="00F77984" w:rsidP="000C0B3F">
            <w:pPr>
              <w:pStyle w:val="Fliesstext"/>
            </w:pPr>
            <w:r>
              <w:t>6,4 ml/min (40 %)</w:t>
            </w:r>
          </w:p>
        </w:tc>
      </w:tr>
      <w:tr w:rsidR="00F77984" w:rsidRPr="00B21AAA" w14:paraId="40616FD5" w14:textId="77777777" w:rsidTr="000C0B3F">
        <w:tc>
          <w:tcPr>
            <w:tcW w:w="3351" w:type="dxa"/>
          </w:tcPr>
          <w:p w14:paraId="66134816" w14:textId="77777777" w:rsidR="00F77984" w:rsidRPr="00B21AAA" w:rsidRDefault="00F77984" w:rsidP="000C0B3F">
            <w:pPr>
              <w:pStyle w:val="Fliesstext"/>
            </w:pPr>
            <w:r>
              <w:t>Vert (DI 0,84 mm)</w:t>
            </w:r>
          </w:p>
        </w:tc>
        <w:tc>
          <w:tcPr>
            <w:tcW w:w="3351" w:type="dxa"/>
          </w:tcPr>
          <w:p w14:paraId="0CC16C2E" w14:textId="77777777" w:rsidR="00F77984" w:rsidRPr="00B21AAA" w:rsidRDefault="00F77984" w:rsidP="000C0B3F">
            <w:pPr>
              <w:pStyle w:val="Fliesstext"/>
            </w:pPr>
            <w:r>
              <w:t>9 </w:t>
            </w:r>
            <w:proofErr w:type="gramStart"/>
            <w:r>
              <w:t>bar</w:t>
            </w:r>
            <w:proofErr w:type="gramEnd"/>
          </w:p>
        </w:tc>
        <w:tc>
          <w:tcPr>
            <w:tcW w:w="3351" w:type="dxa"/>
          </w:tcPr>
          <w:p w14:paraId="735FE1AC" w14:textId="77777777" w:rsidR="00F77984" w:rsidRPr="00B21AAA" w:rsidRDefault="00F77984" w:rsidP="000C0B3F">
            <w:pPr>
              <w:pStyle w:val="Fliesstext"/>
            </w:pPr>
            <w:r>
              <w:t>15 </w:t>
            </w:r>
            <w:proofErr w:type="gramStart"/>
            <w:r>
              <w:t>bar</w:t>
            </w:r>
            <w:proofErr w:type="gramEnd"/>
          </w:p>
        </w:tc>
      </w:tr>
      <w:tr w:rsidR="00F77984" w:rsidRPr="00B21AAA" w14:paraId="640C10BF" w14:textId="77777777" w:rsidTr="000C0B3F">
        <w:tc>
          <w:tcPr>
            <w:tcW w:w="3351" w:type="dxa"/>
          </w:tcPr>
          <w:p w14:paraId="750C0B07" w14:textId="77777777" w:rsidR="00F77984" w:rsidRPr="00B21AAA" w:rsidRDefault="00F77984" w:rsidP="000C0B3F">
            <w:pPr>
              <w:pStyle w:val="Fliesstext"/>
            </w:pPr>
            <w:r>
              <w:t>Olive (DI 1,6 mm)</w:t>
            </w:r>
          </w:p>
        </w:tc>
        <w:tc>
          <w:tcPr>
            <w:tcW w:w="3351" w:type="dxa"/>
          </w:tcPr>
          <w:p w14:paraId="6A1004C6" w14:textId="77777777" w:rsidR="00F77984" w:rsidRPr="00B21AAA" w:rsidRDefault="00F77984" w:rsidP="000C0B3F">
            <w:pPr>
              <w:pStyle w:val="Fliesstext"/>
            </w:pPr>
            <w:r>
              <w:t>4 </w:t>
            </w:r>
            <w:proofErr w:type="gramStart"/>
            <w:r>
              <w:t>bar</w:t>
            </w:r>
            <w:proofErr w:type="gramEnd"/>
          </w:p>
        </w:tc>
        <w:tc>
          <w:tcPr>
            <w:tcW w:w="3351" w:type="dxa"/>
          </w:tcPr>
          <w:p w14:paraId="03941C3D" w14:textId="77777777" w:rsidR="00F77984" w:rsidRPr="00B21AAA" w:rsidRDefault="00F77984" w:rsidP="000C0B3F">
            <w:pPr>
              <w:pStyle w:val="Fliesstext"/>
            </w:pPr>
            <w:r>
              <w:t>7 </w:t>
            </w:r>
            <w:proofErr w:type="gramStart"/>
            <w:r>
              <w:t>bar</w:t>
            </w:r>
            <w:proofErr w:type="gramEnd"/>
          </w:p>
        </w:tc>
      </w:tr>
      <w:tr w:rsidR="00F77984" w:rsidRPr="00B21AAA" w14:paraId="396D1559" w14:textId="77777777" w:rsidTr="000C0B3F">
        <w:tc>
          <w:tcPr>
            <w:tcW w:w="3351" w:type="dxa"/>
          </w:tcPr>
          <w:p w14:paraId="3DEB5F41" w14:textId="77777777" w:rsidR="00F77984" w:rsidRPr="00B21AAA" w:rsidRDefault="00F77984" w:rsidP="000C0B3F">
            <w:pPr>
              <w:pStyle w:val="Fliesstext"/>
            </w:pPr>
            <w:r>
              <w:t>Bleu ciel (DI 2,0 mm)</w:t>
            </w:r>
          </w:p>
        </w:tc>
        <w:tc>
          <w:tcPr>
            <w:tcW w:w="3351" w:type="dxa"/>
          </w:tcPr>
          <w:p w14:paraId="09B221B9" w14:textId="77777777" w:rsidR="00F77984" w:rsidRPr="00B21AAA" w:rsidRDefault="00F77984" w:rsidP="000C0B3F">
            <w:pPr>
              <w:pStyle w:val="Fliesstext"/>
            </w:pPr>
            <w:r>
              <w:t>3 </w:t>
            </w:r>
            <w:proofErr w:type="gramStart"/>
            <w:r>
              <w:t>bar</w:t>
            </w:r>
            <w:proofErr w:type="gramEnd"/>
          </w:p>
        </w:tc>
        <w:tc>
          <w:tcPr>
            <w:tcW w:w="3351" w:type="dxa"/>
          </w:tcPr>
          <w:p w14:paraId="11C47945" w14:textId="77777777" w:rsidR="00F77984" w:rsidRPr="00B21AAA" w:rsidRDefault="00F77984" w:rsidP="000C0B3F">
            <w:pPr>
              <w:pStyle w:val="Fliesstext"/>
            </w:pPr>
            <w:r>
              <w:t>5 </w:t>
            </w:r>
            <w:proofErr w:type="gramStart"/>
            <w:r>
              <w:t>bar</w:t>
            </w:r>
            <w:proofErr w:type="gramEnd"/>
          </w:p>
        </w:tc>
      </w:tr>
      <w:tr w:rsidR="00F77984" w:rsidRPr="00B21AAA" w14:paraId="24D6AC8F" w14:textId="77777777" w:rsidTr="000C0B3F">
        <w:tc>
          <w:tcPr>
            <w:tcW w:w="3351" w:type="dxa"/>
          </w:tcPr>
          <w:p w14:paraId="28D8C389" w14:textId="77777777" w:rsidR="00F77984" w:rsidRPr="00B21AAA" w:rsidRDefault="00F77984" w:rsidP="000C0B3F">
            <w:pPr>
              <w:pStyle w:val="Fliesstext"/>
            </w:pPr>
            <w:r>
              <w:t>Jaune (DI 2,5 mm)</w:t>
            </w:r>
          </w:p>
        </w:tc>
        <w:tc>
          <w:tcPr>
            <w:tcW w:w="3351" w:type="dxa"/>
          </w:tcPr>
          <w:p w14:paraId="1ED22E32" w14:textId="77777777" w:rsidR="00F77984" w:rsidRPr="00B21AAA" w:rsidRDefault="00F77984" w:rsidP="000C0B3F">
            <w:pPr>
              <w:pStyle w:val="Fliesstext"/>
            </w:pPr>
            <w:r>
              <w:t>3 </w:t>
            </w:r>
            <w:proofErr w:type="gramStart"/>
            <w:r>
              <w:t>bar</w:t>
            </w:r>
            <w:proofErr w:type="gramEnd"/>
          </w:p>
        </w:tc>
        <w:tc>
          <w:tcPr>
            <w:tcW w:w="3351" w:type="dxa"/>
          </w:tcPr>
          <w:p w14:paraId="0042FC53" w14:textId="77777777" w:rsidR="00F77984" w:rsidRPr="00B21AAA" w:rsidRDefault="00F77984" w:rsidP="000C0B3F">
            <w:pPr>
              <w:pStyle w:val="Fliesstext"/>
            </w:pPr>
            <w:r>
              <w:t>5 </w:t>
            </w:r>
            <w:proofErr w:type="gramStart"/>
            <w:r>
              <w:t>bar</w:t>
            </w:r>
            <w:proofErr w:type="gramEnd"/>
          </w:p>
        </w:tc>
      </w:tr>
      <w:tr w:rsidR="00F77984" w:rsidRPr="00B21AAA" w14:paraId="15F06505" w14:textId="77777777" w:rsidTr="000C0B3F">
        <w:tc>
          <w:tcPr>
            <w:tcW w:w="3351" w:type="dxa"/>
          </w:tcPr>
          <w:p w14:paraId="5AA6AA76" w14:textId="77777777" w:rsidR="00F77984" w:rsidRPr="00B21AAA" w:rsidRDefault="00F77984" w:rsidP="000C0B3F">
            <w:pPr>
              <w:pStyle w:val="Fliesstext"/>
            </w:pPr>
            <w:r>
              <w:t>Extrémité ouverte</w:t>
            </w:r>
          </w:p>
        </w:tc>
        <w:tc>
          <w:tcPr>
            <w:tcW w:w="3351" w:type="dxa"/>
          </w:tcPr>
          <w:p w14:paraId="46E66827" w14:textId="77777777" w:rsidR="00F77984" w:rsidRPr="00B21AAA" w:rsidRDefault="00F77984" w:rsidP="000C0B3F">
            <w:pPr>
              <w:pStyle w:val="Fliesstext"/>
            </w:pPr>
            <w:r>
              <w:t>2 </w:t>
            </w:r>
            <w:proofErr w:type="gramStart"/>
            <w:r>
              <w:t>bar</w:t>
            </w:r>
            <w:proofErr w:type="gramEnd"/>
          </w:p>
        </w:tc>
        <w:tc>
          <w:tcPr>
            <w:tcW w:w="3351" w:type="dxa"/>
          </w:tcPr>
          <w:p w14:paraId="1036809B" w14:textId="77777777" w:rsidR="00F77984" w:rsidRPr="00B21AAA" w:rsidRDefault="00F77984" w:rsidP="000C0B3F">
            <w:pPr>
              <w:pStyle w:val="Fliesstext"/>
            </w:pPr>
            <w:r>
              <w:t>3 </w:t>
            </w:r>
            <w:proofErr w:type="gramStart"/>
            <w:r>
              <w:t>bar</w:t>
            </w:r>
            <w:proofErr w:type="gramEnd"/>
          </w:p>
        </w:tc>
      </w:tr>
    </w:tbl>
    <w:p w14:paraId="6D300E70" w14:textId="77777777" w:rsidR="00F77984" w:rsidRDefault="00F77984" w:rsidP="00F77984">
      <w:pPr>
        <w:rPr>
          <w:lang w:eastAsia="de-DE"/>
        </w:rPr>
      </w:pPr>
    </w:p>
    <w:p w14:paraId="67A6CD48" w14:textId="77777777" w:rsidR="00F77984" w:rsidRDefault="00F77984" w:rsidP="00F77984">
      <w:r>
        <w:t xml:space="preserve">Les séries de données montrent clairement que la pression est plus basse avec les aiguilles de dosage du type bleu ciel ou jaune. Les conditions du processus ainsi améliorées constituent la base nécessaire </w:t>
      </w:r>
      <w:r>
        <w:lastRenderedPageBreak/>
        <w:t xml:space="preserve">pour réaliser des vitesses de dosage et des débits volumiques plus élevés tout en garantissant une qualité toujours identique et reproductible. </w:t>
      </w:r>
    </w:p>
    <w:p w14:paraId="051E20E5" w14:textId="77777777" w:rsidR="00F77984" w:rsidRDefault="00F77984" w:rsidP="00F77984">
      <w:r>
        <w:t xml:space="preserve">Les deux variantes d'aiguille utilisent le raccord </w:t>
      </w:r>
      <w:proofErr w:type="spellStart"/>
      <w:r>
        <w:t>Luer</w:t>
      </w:r>
      <w:proofErr w:type="spellEnd"/>
      <w:r>
        <w:t xml:space="preserve"> Lock bien connu et sont, de ce fait, utilisables avec tous les produits </w:t>
      </w:r>
      <w:proofErr w:type="spellStart"/>
      <w:r>
        <w:t>preeflow</w:t>
      </w:r>
      <w:proofErr w:type="spellEnd"/>
      <w:r>
        <w:t xml:space="preserve"> de la gamme </w:t>
      </w:r>
      <w:proofErr w:type="spellStart"/>
      <w:r>
        <w:t>eco</w:t>
      </w:r>
      <w:proofErr w:type="spellEnd"/>
      <w:r>
        <w:t>-PEN.</w:t>
      </w:r>
    </w:p>
    <w:p w14:paraId="19701668" w14:textId="26C755DC" w:rsidR="00F77984" w:rsidRDefault="00F77984" w:rsidP="00F77984">
      <w:r>
        <w:t xml:space="preserve">Les variantes jaune et bleu ciel sont disponibles dès à présent. </w:t>
      </w:r>
    </w:p>
    <w:p w14:paraId="5D5DD215" w14:textId="5E7C01AD" w:rsidR="00974CD8" w:rsidRPr="00974CD8" w:rsidRDefault="00F77984" w:rsidP="00F77984">
      <w:r>
        <w:t>2913 caractères, espaces comprises. Reproduction libre. Justificatif demandé.</w:t>
      </w:r>
    </w:p>
    <w:p w14:paraId="73516557" w14:textId="77777777" w:rsidR="00974CD8" w:rsidRPr="00974CD8" w:rsidRDefault="00974CD8" w:rsidP="00A1611B"/>
    <w:p w14:paraId="14A9A229" w14:textId="77777777" w:rsidR="00A1611B" w:rsidRDefault="00440F2B" w:rsidP="00A1611B">
      <w:pPr>
        <w:pStyle w:val="Untertitel"/>
      </w:pPr>
      <w:r>
        <w:t>Photo :</w:t>
      </w:r>
    </w:p>
    <w:p w14:paraId="4ABEB392" w14:textId="277D9049" w:rsidR="00974CD8" w:rsidRPr="00974CD8" w:rsidRDefault="00433DDE" w:rsidP="00A1611B">
      <w:pPr>
        <w:pStyle w:val="Untertitel"/>
      </w:pPr>
      <w:r>
        <w:rPr>
          <w:noProof/>
        </w:rPr>
        <w:drawing>
          <wp:inline distT="0" distB="0" distL="0" distR="0" wp14:anchorId="2AC391CB" wp14:editId="7A9718BB">
            <wp:extent cx="1291304" cy="1935480"/>
            <wp:effectExtent l="0" t="0" r="4445" b="762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95554" cy="1941850"/>
                    </a:xfrm>
                    <a:prstGeom prst="rect">
                      <a:avLst/>
                    </a:prstGeom>
                  </pic:spPr>
                </pic:pic>
              </a:graphicData>
            </a:graphic>
          </wp:inline>
        </w:drawing>
      </w:r>
      <w:r>
        <w:t xml:space="preserve">                                            </w:t>
      </w:r>
      <w:r>
        <w:rPr>
          <w:noProof/>
        </w:rPr>
        <w:drawing>
          <wp:inline distT="0" distB="0" distL="0" distR="0" wp14:anchorId="6A2B7CD0" wp14:editId="54B932BD">
            <wp:extent cx="2887980" cy="1926755"/>
            <wp:effectExtent l="0" t="0" r="762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05171" cy="1938224"/>
                    </a:xfrm>
                    <a:prstGeom prst="rect">
                      <a:avLst/>
                    </a:prstGeom>
                  </pic:spPr>
                </pic:pic>
              </a:graphicData>
            </a:graphic>
          </wp:inline>
        </w:drawing>
      </w:r>
    </w:p>
    <w:p w14:paraId="10FBB61E" w14:textId="3EB7AE1B" w:rsidR="00974CD8" w:rsidRPr="00440F2B" w:rsidRDefault="00A41C3F" w:rsidP="00A1611B">
      <w:pPr>
        <w:pStyle w:val="Bildunterschrift"/>
      </w:pPr>
      <w:proofErr w:type="spellStart"/>
      <w:proofErr w:type="gramStart"/>
      <w:r>
        <w:t>eco</w:t>
      </w:r>
      <w:proofErr w:type="spellEnd"/>
      <w:proofErr w:type="gramEnd"/>
      <w:r>
        <w:t xml:space="preserve">-PEN </w:t>
      </w:r>
      <w:proofErr w:type="spellStart"/>
      <w:r>
        <w:t>preeflow</w:t>
      </w:r>
      <w:proofErr w:type="spellEnd"/>
      <w:r>
        <w:t xml:space="preserve"> avec aiguille de dosage « jaune »</w:t>
      </w:r>
      <w:r>
        <w:tab/>
        <w:t xml:space="preserve">          Vue d'ensemble consommables </w:t>
      </w:r>
      <w:proofErr w:type="spellStart"/>
      <w:r>
        <w:t>preeflow</w:t>
      </w:r>
      <w:proofErr w:type="spellEnd"/>
      <w:r>
        <w:t xml:space="preserve"> aiguilles de dosage</w:t>
      </w:r>
    </w:p>
    <w:p w14:paraId="23865AB7" w14:textId="77777777" w:rsidR="00D56D5D" w:rsidRPr="00440F2B" w:rsidRDefault="00D56D5D" w:rsidP="00A1611B">
      <w:pPr>
        <w:pStyle w:val="Untertitel"/>
      </w:pPr>
      <w:r>
        <w:t>Le microdosage à la perfection !</w:t>
      </w:r>
    </w:p>
    <w:p w14:paraId="7452F2B2" w14:textId="77AE14EC" w:rsidR="00427264" w:rsidRDefault="00427264" w:rsidP="00427264">
      <w:r>
        <w:t xml:space="preserve">Créée en 2008, la marque </w:t>
      </w:r>
      <w:proofErr w:type="spellStart"/>
      <w:r>
        <w:t>preeflow</w:t>
      </w:r>
      <w:proofErr w:type="spellEnd"/>
      <w:r>
        <w:rPr>
          <w:vertAlign w:val="superscript"/>
        </w:rPr>
        <w:t>®</w:t>
      </w:r>
      <w:r>
        <w:t xml:space="preserve"> est synonyme de dosage purement volumétrique précis de très petites quantités de liquides. Les produits </w:t>
      </w:r>
      <w:proofErr w:type="spellStart"/>
      <w:r>
        <w:t>preeflow</w:t>
      </w:r>
      <w:proofErr w:type="spellEnd"/>
      <w:r>
        <w:rPr>
          <w:vertAlign w:val="superscript"/>
        </w:rPr>
        <w:t>®</w:t>
      </w:r>
      <w:r>
        <w:t xml:space="preserve"> sont appréciés dans le monde entier, notamment pour leur qualité unique – Made in Germany. Un réseau international de revendeurs offre un service et une assistance professionnels pour tous les systèmes de dosage </w:t>
      </w:r>
      <w:proofErr w:type="spellStart"/>
      <w:r>
        <w:t>preeflow</w:t>
      </w:r>
      <w:proofErr w:type="spellEnd"/>
      <w:r>
        <w:t xml:space="preserve">. Les multiples domaines d'application comprennent entre autres les secteurs de l'automobile, de l'industrie électrique et électronique, de la technologie médicale, de l'aéronautique et de l'aérospatiale, des énergies renouvelables, de la technologie électrique et hybride et de la technologie des mesures et des capteurs. Tous les systèmes </w:t>
      </w:r>
      <w:proofErr w:type="spellStart"/>
      <w:r>
        <w:t>preeflow</w:t>
      </w:r>
      <w:proofErr w:type="spellEnd"/>
      <w:r>
        <w:rPr>
          <w:vertAlign w:val="superscript"/>
        </w:rPr>
        <w:t>®</w:t>
      </w:r>
      <w:r>
        <w:t xml:space="preserve"> sont faciles à intégrer grâce à des interfaces standardisées. Plus de 50 000 systèmes </w:t>
      </w:r>
      <w:proofErr w:type="spellStart"/>
      <w:r>
        <w:t>preeflow</w:t>
      </w:r>
      <w:proofErr w:type="spellEnd"/>
      <w:r>
        <w:rPr>
          <w:vertAlign w:val="superscript"/>
        </w:rPr>
        <w:t>®</w:t>
      </w:r>
      <w:r>
        <w:t xml:space="preserve"> fonctionnent dans le monde dans des applications de dosage semi-automatiques ou entièrement automatiques, à l'entière satisfaction des utilisateurs et des clients. </w:t>
      </w:r>
      <w:proofErr w:type="spellStart"/>
      <w:proofErr w:type="gramStart"/>
      <w:r>
        <w:t>preeflow</w:t>
      </w:r>
      <w:proofErr w:type="spellEnd"/>
      <w:proofErr w:type="gramEnd"/>
      <w:r>
        <w:rPr>
          <w:vertAlign w:val="superscript"/>
        </w:rPr>
        <w:t>®</w:t>
      </w:r>
      <w:r>
        <w:t xml:space="preserve"> est une marque de </w:t>
      </w:r>
      <w:proofErr w:type="spellStart"/>
      <w:r>
        <w:t>ViscoTec</w:t>
      </w:r>
      <w:proofErr w:type="spellEnd"/>
      <w:r>
        <w:t xml:space="preserve"> </w:t>
      </w:r>
      <w:proofErr w:type="spellStart"/>
      <w:r>
        <w:t>Pumpen</w:t>
      </w:r>
      <w:proofErr w:type="spellEnd"/>
      <w:r>
        <w:t xml:space="preserve">- u. </w:t>
      </w:r>
      <w:proofErr w:type="spellStart"/>
      <w:r>
        <w:t>Dosiertechnik</w:t>
      </w:r>
      <w:proofErr w:type="spellEnd"/>
      <w:r>
        <w:t xml:space="preserve"> GmbH. ViscoTec se consacre principalement aux installations dédiées au pompage, au dosage, à l'application, au remplissage et au prélèvement de fluides de viscosité moyenne à </w:t>
      </w:r>
      <w:proofErr w:type="spellStart"/>
      <w:r>
        <w:t>élevée</w:t>
      </w:r>
      <w:proofErr w:type="spellEnd"/>
      <w:r>
        <w:t xml:space="preserve">. Le siège du leader technologique se situe à </w:t>
      </w:r>
      <w:proofErr w:type="spellStart"/>
      <w:r>
        <w:t>Töging</w:t>
      </w:r>
      <w:proofErr w:type="spellEnd"/>
      <w:r>
        <w:t xml:space="preserve"> (Haute-Bavière, district d'</w:t>
      </w:r>
      <w:proofErr w:type="spellStart"/>
      <w:r>
        <w:t>Altötting</w:t>
      </w:r>
      <w:proofErr w:type="spellEnd"/>
      <w:r>
        <w:t xml:space="preserve">). ViscoTec possède également des filiales aux USA, en Chine, à Singapour, en Inde et en France et emploie environ </w:t>
      </w:r>
      <w:r w:rsidR="00863C1A">
        <w:t>300</w:t>
      </w:r>
      <w:r>
        <w:t> personnes dans le monde.</w:t>
      </w:r>
    </w:p>
    <w:p w14:paraId="2D359D29" w14:textId="77777777" w:rsidR="00BD097C" w:rsidRDefault="00BD097C" w:rsidP="00A1611B"/>
    <w:p w14:paraId="7CDB0987" w14:textId="77777777" w:rsidR="00BD097C" w:rsidRDefault="00BD097C" w:rsidP="00A1611B"/>
    <w:p w14:paraId="7A0985DD" w14:textId="77777777" w:rsidR="00BD097C" w:rsidRPr="00A1611B" w:rsidRDefault="00BD097C" w:rsidP="00A1611B">
      <w:pPr>
        <w:pStyle w:val="Untertitel"/>
      </w:pPr>
      <w:r>
        <w:t>Contact presse :</w:t>
      </w:r>
    </w:p>
    <w:p w14:paraId="5A615902" w14:textId="77777777" w:rsidR="000F053C" w:rsidRPr="003F684A" w:rsidRDefault="000F053C" w:rsidP="000F053C">
      <w:pPr>
        <w:spacing w:after="0"/>
      </w:pPr>
      <w:r>
        <w:t xml:space="preserve">Thomas Diringer, </w:t>
      </w:r>
      <w:proofErr w:type="spellStart"/>
      <w:r>
        <w:t>Leiter</w:t>
      </w:r>
      <w:proofErr w:type="spellEnd"/>
      <w:r>
        <w:t xml:space="preserve"> </w:t>
      </w:r>
      <w:proofErr w:type="spellStart"/>
      <w:r>
        <w:t>Geschäftsfeld</w:t>
      </w:r>
      <w:proofErr w:type="spellEnd"/>
      <w:r>
        <w:t xml:space="preserve"> Components &amp; </w:t>
      </w:r>
      <w:proofErr w:type="spellStart"/>
      <w:r>
        <w:t>Devices</w:t>
      </w:r>
      <w:proofErr w:type="spellEnd"/>
    </w:p>
    <w:p w14:paraId="63A086F4" w14:textId="77777777" w:rsidR="000F053C" w:rsidRPr="003F684A" w:rsidRDefault="000F053C" w:rsidP="000F053C">
      <w:pPr>
        <w:spacing w:after="0"/>
      </w:pPr>
      <w:proofErr w:type="spellStart"/>
      <w:r>
        <w:t>ViscoTec</w:t>
      </w:r>
      <w:proofErr w:type="spellEnd"/>
      <w:r>
        <w:t xml:space="preserve"> </w:t>
      </w:r>
      <w:proofErr w:type="spellStart"/>
      <w:r>
        <w:t>Pumpen</w:t>
      </w:r>
      <w:proofErr w:type="spellEnd"/>
      <w:r>
        <w:t xml:space="preserve">- u. </w:t>
      </w:r>
      <w:proofErr w:type="spellStart"/>
      <w:r>
        <w:t>Dosiertechnik</w:t>
      </w:r>
      <w:proofErr w:type="spellEnd"/>
      <w:r>
        <w:t xml:space="preserve"> GmbH</w:t>
      </w:r>
    </w:p>
    <w:p w14:paraId="206627B1" w14:textId="77777777" w:rsidR="000F053C" w:rsidRPr="003F684A" w:rsidRDefault="000F053C" w:rsidP="000F053C">
      <w:pPr>
        <w:spacing w:after="0"/>
      </w:pPr>
      <w:proofErr w:type="spellStart"/>
      <w:r>
        <w:t>Amperstraße</w:t>
      </w:r>
      <w:proofErr w:type="spellEnd"/>
      <w:r>
        <w:t xml:space="preserve"> 13, D-84513 </w:t>
      </w:r>
      <w:proofErr w:type="spellStart"/>
      <w:r>
        <w:t>Töging</w:t>
      </w:r>
      <w:proofErr w:type="spellEnd"/>
      <w:r>
        <w:t xml:space="preserve"> a. Inn</w:t>
      </w:r>
    </w:p>
    <w:p w14:paraId="0A0D7E1B" w14:textId="77777777" w:rsidR="000F053C" w:rsidRPr="003A28AE" w:rsidRDefault="000F053C" w:rsidP="000F053C">
      <w:pPr>
        <w:spacing w:after="0"/>
      </w:pPr>
      <w:r>
        <w:t xml:space="preserve">Téléphone +49 8631 9274-441 </w:t>
      </w:r>
    </w:p>
    <w:p w14:paraId="42AB8C41" w14:textId="77777777" w:rsidR="000F053C" w:rsidRPr="003A28AE" w:rsidRDefault="000F053C" w:rsidP="000F053C">
      <w:pPr>
        <w:spacing w:after="0"/>
      </w:pPr>
      <w:proofErr w:type="gramStart"/>
      <w:r>
        <w:t>E-mail</w:t>
      </w:r>
      <w:proofErr w:type="gramEnd"/>
      <w:r>
        <w:t> : thomas.diringer@viscotec.de · www.preeflow.com</w:t>
      </w:r>
    </w:p>
    <w:p w14:paraId="4A30672A" w14:textId="77777777" w:rsidR="000F053C" w:rsidRPr="00955289" w:rsidRDefault="000F053C" w:rsidP="000F053C">
      <w:pPr>
        <w:spacing w:after="0"/>
      </w:pPr>
    </w:p>
    <w:p w14:paraId="3DF29006" w14:textId="77777777" w:rsidR="003A28AE" w:rsidRPr="00AB56B6" w:rsidRDefault="00390CBD" w:rsidP="00AB56B6">
      <w:pPr>
        <w:spacing w:after="0"/>
      </w:pPr>
      <w:r>
        <w:t>Lisa Kiesenbauer, Marketing</w:t>
      </w:r>
    </w:p>
    <w:p w14:paraId="1D8C00E3" w14:textId="77777777" w:rsidR="003A28AE" w:rsidRDefault="003A28AE" w:rsidP="00AB56B6">
      <w:pPr>
        <w:spacing w:after="0"/>
      </w:pPr>
      <w:proofErr w:type="spellStart"/>
      <w:r>
        <w:t>ViscoTec</w:t>
      </w:r>
      <w:proofErr w:type="spellEnd"/>
      <w:r>
        <w:t xml:space="preserve"> </w:t>
      </w:r>
      <w:proofErr w:type="spellStart"/>
      <w:r>
        <w:t>Pumpen</w:t>
      </w:r>
      <w:proofErr w:type="spellEnd"/>
      <w:r>
        <w:t xml:space="preserve">- u. </w:t>
      </w:r>
      <w:proofErr w:type="spellStart"/>
      <w:r>
        <w:t>Dosiertechnik</w:t>
      </w:r>
      <w:proofErr w:type="spellEnd"/>
      <w:r>
        <w:t xml:space="preserve"> GmbH</w:t>
      </w:r>
    </w:p>
    <w:p w14:paraId="1F0ABB9D" w14:textId="77777777" w:rsidR="003A28AE" w:rsidRDefault="003A28AE" w:rsidP="00AB56B6">
      <w:pPr>
        <w:spacing w:after="0"/>
      </w:pPr>
      <w:proofErr w:type="spellStart"/>
      <w:r>
        <w:t>Amperstraße</w:t>
      </w:r>
      <w:proofErr w:type="spellEnd"/>
      <w:r>
        <w:t xml:space="preserve"> 13, D-84513 </w:t>
      </w:r>
      <w:proofErr w:type="spellStart"/>
      <w:r>
        <w:t>Töging</w:t>
      </w:r>
      <w:proofErr w:type="spellEnd"/>
      <w:r>
        <w:t xml:space="preserve"> a. Inn</w:t>
      </w:r>
    </w:p>
    <w:p w14:paraId="79CC43E2" w14:textId="77777777" w:rsidR="003A28AE" w:rsidRPr="003A28AE" w:rsidRDefault="003A28AE" w:rsidP="00AB56B6">
      <w:pPr>
        <w:spacing w:after="0"/>
      </w:pPr>
      <w:r>
        <w:t xml:space="preserve">Téléphone +49 8631 9274-0 </w:t>
      </w:r>
    </w:p>
    <w:p w14:paraId="2C552ABE" w14:textId="77777777" w:rsidR="003A28AE" w:rsidRPr="00AB56B6" w:rsidRDefault="003A28AE" w:rsidP="00AB56B6">
      <w:pPr>
        <w:spacing w:after="0"/>
      </w:pPr>
      <w:proofErr w:type="gramStart"/>
      <w:r>
        <w:t>E-mail</w:t>
      </w:r>
      <w:proofErr w:type="gramEnd"/>
      <w:r>
        <w:t> : lisa.kiesenbauer@viscotec.de · www.viscotec.de</w:t>
      </w:r>
    </w:p>
    <w:p w14:paraId="5A557564" w14:textId="77777777" w:rsidR="0050565F" w:rsidRPr="00AB56B6" w:rsidRDefault="0050565F" w:rsidP="00AB56B6">
      <w:pPr>
        <w:spacing w:after="0"/>
      </w:pPr>
    </w:p>
    <w:p w14:paraId="1B856A47" w14:textId="77777777" w:rsidR="00207D48" w:rsidRPr="00955289" w:rsidRDefault="00207D48" w:rsidP="00A1611B"/>
    <w:p w14:paraId="684ADD50" w14:textId="77777777" w:rsidR="00207D48" w:rsidRPr="00955289" w:rsidRDefault="00207D48" w:rsidP="00A1611B"/>
    <w:sectPr w:rsidR="00207D48" w:rsidRPr="00955289" w:rsidSect="00C82731">
      <w:headerReference w:type="default" r:id="rId12"/>
      <w:footerReference w:type="default" r:id="rId13"/>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2488D" w14:textId="77777777" w:rsidR="00AA0710" w:rsidRDefault="00AA0710" w:rsidP="00A1611B">
      <w:r>
        <w:separator/>
      </w:r>
    </w:p>
  </w:endnote>
  <w:endnote w:type="continuationSeparator" w:id="0">
    <w:p w14:paraId="38103D57" w14:textId="77777777" w:rsidR="00AA0710" w:rsidRDefault="00AA0710" w:rsidP="00A16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C6E63" w14:textId="77777777" w:rsidR="00A1611B" w:rsidRPr="00A1611B" w:rsidRDefault="00A1611B" w:rsidP="00A1611B">
    <w:pPr>
      <w:spacing w:after="0" w:line="240" w:lineRule="auto"/>
      <w:rPr>
        <w:noProof/>
        <w:sz w:val="14"/>
        <w:szCs w:val="14"/>
      </w:rPr>
    </w:pPr>
  </w:p>
  <w:p w14:paraId="0063B2B2" w14:textId="77777777" w:rsidR="00A1611B" w:rsidRPr="00A1611B" w:rsidRDefault="00A1611B" w:rsidP="00A1611B">
    <w:pPr>
      <w:spacing w:after="0" w:line="240" w:lineRule="auto"/>
      <w:rPr>
        <w:noProof/>
        <w:sz w:val="14"/>
        <w:szCs w:val="14"/>
      </w:rPr>
    </w:pPr>
    <w:r>
      <w:rPr>
        <w:noProof/>
        <w:sz w:val="14"/>
      </w:rPr>
      <mc:AlternateContent>
        <mc:Choice Requires="wps">
          <w:drawing>
            <wp:anchor distT="0" distB="0" distL="114300" distR="114300" simplePos="0" relativeHeight="251660288" behindDoc="0" locked="0" layoutInCell="1" allowOverlap="1" wp14:anchorId="28C1FEBD" wp14:editId="35566E14">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A6548D" id="Gerader Verbinde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" strokecolor="#dde4f0"/>
          </w:pict>
        </mc:Fallback>
      </mc:AlternateContent>
    </w:r>
  </w:p>
  <w:p w14:paraId="0BCB0B44" w14:textId="77777777" w:rsidR="00A1611B" w:rsidRPr="00A1611B" w:rsidRDefault="00A1611B" w:rsidP="00A1611B">
    <w:pPr>
      <w:spacing w:after="0" w:line="240" w:lineRule="auto"/>
      <w:rPr>
        <w:noProof/>
        <w:sz w:val="14"/>
        <w:szCs w:val="14"/>
      </w:rPr>
    </w:pPr>
  </w:p>
  <w:p w14:paraId="077BF6D1" w14:textId="77777777" w:rsidR="00C82731" w:rsidRPr="00A1611B" w:rsidRDefault="009C38DB" w:rsidP="00A1611B">
    <w:pPr>
      <w:pStyle w:val="Fusszeile"/>
    </w:pPr>
    <w:r>
      <w:rPr>
        <w:color w:val="7F7F7F"/>
      </w:rPr>
      <w:tab/>
    </w:r>
    <w:r>
      <w:rPr>
        <w:color w:val="7F7F7F"/>
      </w:rPr>
      <w:tab/>
    </w:r>
    <w:r>
      <w:t xml:space="preserve"> </w:t>
    </w:r>
    <w:r>
      <w:rPr>
        <w:color w:val="7F7F7F"/>
      </w:rPr>
      <w:tab/>
    </w:r>
    <w:r>
      <w:t xml:space="preserve">                                                                 Page </w:t>
    </w:r>
    <w:r w:rsidR="00C82731" w:rsidRPr="00A1611B">
      <w:fldChar w:fldCharType="begin"/>
    </w:r>
    <w:r w:rsidR="00C82731" w:rsidRPr="00A1611B">
      <w:instrText xml:space="preserve"> PAGE </w:instrText>
    </w:r>
    <w:r w:rsidR="00C82731" w:rsidRPr="00A1611B">
      <w:fldChar w:fldCharType="separate"/>
    </w:r>
    <w:r w:rsidR="00C82731" w:rsidRPr="00A1611B">
      <w:t>1</w:t>
    </w:r>
    <w:r w:rsidR="00C82731" w:rsidRPr="00A1611B">
      <w:fldChar w:fldCharType="end"/>
    </w:r>
    <w:r>
      <w:t xml:space="preserve"> sur </w:t>
    </w:r>
    <w:r w:rsidR="00C82731" w:rsidRPr="00A1611B">
      <w:fldChar w:fldCharType="begin"/>
    </w:r>
    <w:r w:rsidR="00C82731" w:rsidRPr="00A1611B">
      <w:instrText xml:space="preserve"> NUMPAGES  </w:instrText>
    </w:r>
    <w:r w:rsidR="00C82731" w:rsidRPr="00A1611B">
      <w:fldChar w:fldCharType="separate"/>
    </w:r>
    <w:r w:rsidR="00C82731" w:rsidRPr="00A1611B">
      <w:t>1</w:t>
    </w:r>
    <w:r w:rsidR="00C82731" w:rsidRPr="00A1611B">
      <w:fldChar w:fldCharType="end"/>
    </w:r>
  </w:p>
  <w:p w14:paraId="39B859E1" w14:textId="77777777" w:rsidR="00A1611B" w:rsidRPr="00A1611B" w:rsidRDefault="00A1611B" w:rsidP="00A1611B">
    <w:pPr>
      <w:pStyle w:val="Fusszeile"/>
    </w:pPr>
  </w:p>
  <w:p w14:paraId="705CCC87" w14:textId="77777777" w:rsidR="00A1611B" w:rsidRDefault="00C82731" w:rsidP="00A1611B">
    <w:pPr>
      <w:spacing w:after="0" w:line="240" w:lineRule="auto"/>
      <w:rPr>
        <w:noProof/>
        <w:sz w:val="14"/>
        <w:szCs w:val="14"/>
      </w:rPr>
    </w:pPr>
    <w:proofErr w:type="spellStart"/>
    <w:r>
      <w:rPr>
        <w:b/>
        <w:sz w:val="14"/>
      </w:rPr>
      <w:t>ViscoTec</w:t>
    </w:r>
    <w:proofErr w:type="spellEnd"/>
    <w:r>
      <w:rPr>
        <w:sz w:val="14"/>
      </w:rPr>
      <w:tab/>
    </w:r>
    <w:r>
      <w:rPr>
        <w:sz w:val="14"/>
      </w:rPr>
      <w:tab/>
    </w:r>
    <w:r>
      <w:rPr>
        <w:sz w:val="14"/>
      </w:rPr>
      <w:tab/>
    </w:r>
    <w:r>
      <w:rPr>
        <w:sz w:val="14"/>
      </w:rPr>
      <w:tab/>
    </w:r>
    <w:proofErr w:type="spellStart"/>
    <w:r>
      <w:rPr>
        <w:sz w:val="14"/>
      </w:rPr>
      <w:t>Amperstraße</w:t>
    </w:r>
    <w:proofErr w:type="spellEnd"/>
    <w:r>
      <w:rPr>
        <w:sz w:val="14"/>
      </w:rPr>
      <w:t xml:space="preserve"> 13</w:t>
    </w:r>
    <w:r>
      <w:rPr>
        <w:color w:val="7F7F7F"/>
        <w:sz w:val="14"/>
      </w:rPr>
      <w:tab/>
    </w:r>
    <w:r>
      <w:rPr>
        <w:color w:val="7F7F7F"/>
        <w:sz w:val="14"/>
      </w:rPr>
      <w:tab/>
    </w:r>
    <w:r>
      <w:rPr>
        <w:color w:val="7F7F7F"/>
        <w:sz w:val="14"/>
      </w:rPr>
      <w:tab/>
    </w:r>
    <w:proofErr w:type="gramStart"/>
    <w:r>
      <w:rPr>
        <w:b/>
        <w:color w:val="00B0F0"/>
        <w:sz w:val="14"/>
      </w:rPr>
      <w:t>T</w:t>
    </w:r>
    <w:r>
      <w:rPr>
        <w:color w:val="7F7F7F"/>
        <w:sz w:val="14"/>
      </w:rPr>
      <w:t xml:space="preserve">  </w:t>
    </w:r>
    <w:r>
      <w:rPr>
        <w:sz w:val="14"/>
      </w:rPr>
      <w:t>+</w:t>
    </w:r>
    <w:proofErr w:type="gramEnd"/>
    <w:r>
      <w:rPr>
        <w:sz w:val="14"/>
      </w:rPr>
      <w:t>49 8631 9274-0</w:t>
    </w:r>
    <w:r>
      <w:rPr>
        <w:color w:val="7F7F7F"/>
        <w:sz w:val="14"/>
      </w:rPr>
      <w:tab/>
    </w:r>
    <w:r>
      <w:rPr>
        <w:color w:val="7F7F7F"/>
        <w:sz w:val="14"/>
      </w:rPr>
      <w:tab/>
    </w:r>
    <w:r>
      <w:rPr>
        <w:color w:val="7F7F7F"/>
        <w:sz w:val="14"/>
      </w:rPr>
      <w:tab/>
    </w:r>
    <w:r>
      <w:rPr>
        <w:b/>
        <w:color w:val="00B0F0"/>
        <w:sz w:val="14"/>
      </w:rPr>
      <w:t>W</w:t>
    </w:r>
    <w:r>
      <w:rPr>
        <w:color w:val="7F7F7F"/>
        <w:sz w:val="14"/>
      </w:rPr>
      <w:t xml:space="preserve">  </w:t>
    </w:r>
    <w:r>
      <w:rPr>
        <w:sz w:val="14"/>
      </w:rPr>
      <w:t xml:space="preserve">www.viscotec.de </w:t>
    </w:r>
  </w:p>
  <w:p w14:paraId="331F4E68" w14:textId="77777777" w:rsidR="006B78C4" w:rsidRPr="00955289" w:rsidRDefault="00C82731" w:rsidP="00A1611B">
    <w:pPr>
      <w:spacing w:after="0" w:line="240" w:lineRule="auto"/>
      <w:rPr>
        <w:sz w:val="14"/>
        <w:szCs w:val="14"/>
        <w:lang w:val="de-DE"/>
      </w:rPr>
    </w:pPr>
    <w:r w:rsidRPr="00955289">
      <w:rPr>
        <w:b/>
        <w:sz w:val="14"/>
        <w:lang w:val="de-DE"/>
      </w:rPr>
      <w:t>Pumpen- u. Dosiertechnik GmbH</w:t>
    </w:r>
    <w:r w:rsidRPr="00955289">
      <w:rPr>
        <w:sz w:val="14"/>
        <w:lang w:val="de-DE"/>
      </w:rPr>
      <w:tab/>
      <w:t>D-84513 Töging a. Inn</w:t>
    </w:r>
    <w:r w:rsidRPr="00955289">
      <w:rPr>
        <w:sz w:val="14"/>
        <w:lang w:val="de-DE"/>
      </w:rPr>
      <w:tab/>
    </w:r>
    <w:r w:rsidRPr="00955289">
      <w:rPr>
        <w:sz w:val="14"/>
        <w:lang w:val="de-DE"/>
      </w:rPr>
      <w:tab/>
    </w:r>
    <w:r w:rsidRPr="00955289">
      <w:rPr>
        <w:color w:val="7F7F7F"/>
        <w:sz w:val="14"/>
        <w:lang w:val="de-DE"/>
      </w:rPr>
      <w:tab/>
    </w:r>
    <w:proofErr w:type="gramStart"/>
    <w:r w:rsidRPr="00955289">
      <w:rPr>
        <w:b/>
        <w:color w:val="00B0F0"/>
        <w:sz w:val="14"/>
        <w:lang w:val="de-DE"/>
      </w:rPr>
      <w:t>F</w:t>
    </w:r>
    <w:r w:rsidRPr="00955289">
      <w:rPr>
        <w:color w:val="7F7F7F"/>
        <w:sz w:val="14"/>
        <w:lang w:val="de-DE"/>
      </w:rPr>
      <w:t xml:space="preserve">  </w:t>
    </w:r>
    <w:r w:rsidRPr="00955289">
      <w:rPr>
        <w:sz w:val="14"/>
        <w:lang w:val="de-DE"/>
      </w:rPr>
      <w:t>+</w:t>
    </w:r>
    <w:proofErr w:type="gramEnd"/>
    <w:r w:rsidRPr="00955289">
      <w:rPr>
        <w:sz w:val="14"/>
        <w:lang w:val="de-DE"/>
      </w:rPr>
      <w:t>49 8631 9274-300</w:t>
    </w:r>
    <w:r w:rsidRPr="00955289">
      <w:rPr>
        <w:sz w:val="14"/>
        <w:lang w:val="de-DE"/>
      </w:rPr>
      <w:tab/>
    </w:r>
    <w:r w:rsidRPr="00955289">
      <w:rPr>
        <w:sz w:val="14"/>
        <w:lang w:val="de-DE"/>
      </w:rPr>
      <w:tab/>
    </w:r>
    <w:r w:rsidRPr="00955289">
      <w:rPr>
        <w:color w:val="7F7F7F"/>
        <w:sz w:val="14"/>
        <w:lang w:val="de-DE"/>
      </w:rPr>
      <w:tab/>
    </w:r>
    <w:r w:rsidRPr="00955289">
      <w:rPr>
        <w:b/>
        <w:color w:val="00B0F0"/>
        <w:sz w:val="14"/>
        <w:lang w:val="de-DE"/>
      </w:rPr>
      <w:t>E</w:t>
    </w:r>
    <w:r w:rsidRPr="00955289">
      <w:rPr>
        <w:color w:val="7F7F7F"/>
        <w:sz w:val="14"/>
        <w:lang w:val="de-DE"/>
      </w:rPr>
      <w:t xml:space="preserve">  </w:t>
    </w:r>
    <w:r w:rsidRPr="00955289">
      <w:rPr>
        <w:sz w:val="14"/>
        <w:lang w:val="de-DE"/>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6F5D3" w14:textId="77777777" w:rsidR="00AA0710" w:rsidRDefault="00AA0710" w:rsidP="00A1611B">
      <w:r>
        <w:separator/>
      </w:r>
    </w:p>
  </w:footnote>
  <w:footnote w:type="continuationSeparator" w:id="0">
    <w:p w14:paraId="4D6FD2DD" w14:textId="77777777" w:rsidR="00AA0710" w:rsidRDefault="00AA0710" w:rsidP="00A16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750DD" w14:textId="77777777" w:rsidR="006B78C4" w:rsidRDefault="006B78C4" w:rsidP="00A1611B">
    <w:pPr>
      <w:pStyle w:val="Kopfzeile"/>
    </w:pPr>
    <w:r>
      <w:rPr>
        <w:noProof/>
      </w:rPr>
      <w:drawing>
        <wp:anchor distT="0" distB="0" distL="114300" distR="114300" simplePos="0" relativeHeight="251658240" behindDoc="1" locked="0" layoutInCell="1" allowOverlap="1" wp14:anchorId="17F999CC" wp14:editId="5D8DECCB">
          <wp:simplePos x="0" y="0"/>
          <wp:positionH relativeFrom="column">
            <wp:posOffset>4566285</wp:posOffset>
          </wp:positionH>
          <wp:positionV relativeFrom="paragraph">
            <wp:posOffset>-21589</wp:posOffset>
          </wp:positionV>
          <wp:extent cx="1863856" cy="600934"/>
          <wp:effectExtent l="0" t="0" r="3175" b="8890"/>
          <wp:wrapNone/>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85721" cy="607984"/>
                  </a:xfrm>
                  <a:prstGeom prst="rect">
                    <a:avLst/>
                  </a:prstGeom>
                </pic:spPr>
              </pic:pic>
            </a:graphicData>
          </a:graphic>
          <wp14:sizeRelH relativeFrom="margin">
            <wp14:pctWidth>0</wp14:pctWidth>
          </wp14:sizeRelH>
          <wp14:sizeRelV relativeFrom="margin">
            <wp14:pctHeight>0</wp14:pctHeight>
          </wp14:sizeRelV>
        </wp:anchor>
      </w:drawing>
    </w:r>
    <w:r>
      <w:tab/>
    </w:r>
  </w:p>
  <w:p w14:paraId="1F55F53F" w14:textId="77777777" w:rsidR="006B78C4" w:rsidRDefault="006B78C4" w:rsidP="00A1611B">
    <w:pPr>
      <w:pStyle w:val="Kopfzeile"/>
    </w:pPr>
  </w:p>
  <w:p w14:paraId="3FAE25E3" w14:textId="77777777" w:rsidR="006B78C4" w:rsidRDefault="006B78C4" w:rsidP="00A1611B">
    <w:pPr>
      <w:pStyle w:val="Kopfzeile"/>
    </w:pPr>
  </w:p>
  <w:p w14:paraId="16F0518E" w14:textId="77777777" w:rsidR="006B78C4" w:rsidRDefault="006B78C4" w:rsidP="00A1611B">
    <w:pPr>
      <w:pStyle w:val="Kopfzeile"/>
    </w:pPr>
  </w:p>
  <w:p w14:paraId="1C757121" w14:textId="77777777" w:rsidR="006B78C4" w:rsidRDefault="006B78C4" w:rsidP="00A1611B">
    <w:pPr>
      <w:pStyle w:val="Kopfzeile"/>
    </w:pPr>
  </w:p>
  <w:p w14:paraId="6081CFD6" w14:textId="77777777" w:rsidR="006B78C4" w:rsidRPr="00BD6574" w:rsidRDefault="006B78C4" w:rsidP="00A1611B">
    <w:pPr>
      <w:pStyle w:val="KopfzeileHeadline"/>
    </w:pPr>
    <w:r>
      <w:t>COMMUNIQUÉ DE PRESSE</w:t>
    </w:r>
  </w:p>
  <w:p w14:paraId="6F0F1E34" w14:textId="77777777" w:rsidR="006B78C4" w:rsidRDefault="006B78C4" w:rsidP="00A1611B">
    <w:pPr>
      <w:pStyle w:val="Kopfzeile"/>
    </w:pPr>
  </w:p>
  <w:p w14:paraId="3206AC73" w14:textId="77777777" w:rsidR="006B78C4" w:rsidRDefault="006B78C4" w:rsidP="00A1611B">
    <w:pPr>
      <w:pStyle w:val="Kopfzeile"/>
    </w:pPr>
  </w:p>
  <w:p w14:paraId="45127F7C" w14:textId="77777777" w:rsidR="006B78C4" w:rsidRDefault="006B78C4" w:rsidP="00A1611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984"/>
    <w:rsid w:val="00051241"/>
    <w:rsid w:val="0007129F"/>
    <w:rsid w:val="00083B1C"/>
    <w:rsid w:val="000B283B"/>
    <w:rsid w:val="000B44E6"/>
    <w:rsid w:val="000D7869"/>
    <w:rsid w:val="000F053C"/>
    <w:rsid w:val="000F3990"/>
    <w:rsid w:val="00100CE6"/>
    <w:rsid w:val="00165813"/>
    <w:rsid w:val="0019178B"/>
    <w:rsid w:val="001D5317"/>
    <w:rsid w:val="00207D48"/>
    <w:rsid w:val="00213097"/>
    <w:rsid w:val="00214BE3"/>
    <w:rsid w:val="00216DE4"/>
    <w:rsid w:val="002B4444"/>
    <w:rsid w:val="002B7864"/>
    <w:rsid w:val="002C1B58"/>
    <w:rsid w:val="00304C95"/>
    <w:rsid w:val="00346F0D"/>
    <w:rsid w:val="003857C3"/>
    <w:rsid w:val="00390CBD"/>
    <w:rsid w:val="003A23BF"/>
    <w:rsid w:val="003A28AE"/>
    <w:rsid w:val="003C3B5F"/>
    <w:rsid w:val="00427264"/>
    <w:rsid w:val="00433DDE"/>
    <w:rsid w:val="00440F2B"/>
    <w:rsid w:val="004423C9"/>
    <w:rsid w:val="004779ED"/>
    <w:rsid w:val="004B02CD"/>
    <w:rsid w:val="004E287D"/>
    <w:rsid w:val="004F0705"/>
    <w:rsid w:val="00502B11"/>
    <w:rsid w:val="0050565F"/>
    <w:rsid w:val="00592CA1"/>
    <w:rsid w:val="00610C87"/>
    <w:rsid w:val="006370DC"/>
    <w:rsid w:val="006B0A4B"/>
    <w:rsid w:val="006B78C4"/>
    <w:rsid w:val="006C6AE2"/>
    <w:rsid w:val="006E2BC6"/>
    <w:rsid w:val="00756476"/>
    <w:rsid w:val="00782414"/>
    <w:rsid w:val="0079149C"/>
    <w:rsid w:val="00791C50"/>
    <w:rsid w:val="007C6E88"/>
    <w:rsid w:val="007E6CA0"/>
    <w:rsid w:val="008179BD"/>
    <w:rsid w:val="00863C1A"/>
    <w:rsid w:val="0087508C"/>
    <w:rsid w:val="008B099F"/>
    <w:rsid w:val="008B0A02"/>
    <w:rsid w:val="008F388C"/>
    <w:rsid w:val="00943450"/>
    <w:rsid w:val="00955289"/>
    <w:rsid w:val="00974CD8"/>
    <w:rsid w:val="00992BE1"/>
    <w:rsid w:val="009A6CE5"/>
    <w:rsid w:val="009C38DB"/>
    <w:rsid w:val="009D0A72"/>
    <w:rsid w:val="00A02963"/>
    <w:rsid w:val="00A1611B"/>
    <w:rsid w:val="00A23D8E"/>
    <w:rsid w:val="00A311AF"/>
    <w:rsid w:val="00A41C3F"/>
    <w:rsid w:val="00AA0710"/>
    <w:rsid w:val="00AB56B6"/>
    <w:rsid w:val="00AC080F"/>
    <w:rsid w:val="00B025D9"/>
    <w:rsid w:val="00B60D2C"/>
    <w:rsid w:val="00BD097C"/>
    <w:rsid w:val="00BD6574"/>
    <w:rsid w:val="00BE5D7F"/>
    <w:rsid w:val="00C135DE"/>
    <w:rsid w:val="00C82731"/>
    <w:rsid w:val="00C83E1A"/>
    <w:rsid w:val="00C93794"/>
    <w:rsid w:val="00CD306B"/>
    <w:rsid w:val="00CF08AA"/>
    <w:rsid w:val="00CF6D79"/>
    <w:rsid w:val="00D130D4"/>
    <w:rsid w:val="00D505E0"/>
    <w:rsid w:val="00D520FF"/>
    <w:rsid w:val="00D56D5D"/>
    <w:rsid w:val="00D844A5"/>
    <w:rsid w:val="00D87711"/>
    <w:rsid w:val="00DA46FC"/>
    <w:rsid w:val="00DF5968"/>
    <w:rsid w:val="00DF6847"/>
    <w:rsid w:val="00E81205"/>
    <w:rsid w:val="00EB69BA"/>
    <w:rsid w:val="00ED3E57"/>
    <w:rsid w:val="00EF7AD4"/>
    <w:rsid w:val="00F131E0"/>
    <w:rsid w:val="00F77984"/>
    <w:rsid w:val="00FD2F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828BD4"/>
  <w15:docId w15:val="{F14E0192-DE17-414E-AC9E-48983AFBE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611B"/>
    <w:pPr>
      <w:jc w:val="both"/>
    </w:pPr>
    <w:rPr>
      <w:rFonts w:ascii="Arial" w:hAnsi="Arial" w:cs="Arial"/>
    </w:rPr>
  </w:style>
  <w:style w:type="paragraph" w:styleId="berschrift1">
    <w:name w:val="heading 1"/>
    <w:basedOn w:val="Standard"/>
    <w:next w:val="Standard"/>
    <w:link w:val="berschrift1Zchn"/>
    <w:uiPriority w:val="9"/>
    <w:qFormat/>
    <w:rsid w:val="00A1611B"/>
    <w:pPr>
      <w:spacing w:after="0" w:line="360" w:lineRule="auto"/>
      <w:ind w:right="1418"/>
      <w:outlineLvl w:val="0"/>
    </w:pPr>
    <w:rPr>
      <w:b/>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974CD8"/>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A1611B"/>
    <w:rPr>
      <w:rFonts w:ascii="Arial" w:hAnsi="Arial" w:cs="Arial"/>
      <w:b/>
      <w:sz w:val="28"/>
      <w:szCs w:val="28"/>
      <w:lang w:val="fr-FR"/>
    </w:rPr>
  </w:style>
  <w:style w:type="paragraph" w:styleId="Untertitel">
    <w:name w:val="Subtitle"/>
    <w:basedOn w:val="Standard"/>
    <w:next w:val="Standard"/>
    <w:link w:val="UntertitelZchn"/>
    <w:uiPriority w:val="11"/>
    <w:qFormat/>
    <w:rsid w:val="00A1611B"/>
    <w:pPr>
      <w:spacing w:after="0" w:line="360" w:lineRule="auto"/>
      <w:ind w:right="1418"/>
    </w:pPr>
    <w:rPr>
      <w:b/>
    </w:rPr>
  </w:style>
  <w:style w:type="character" w:customStyle="1" w:styleId="UntertitelZchn">
    <w:name w:val="Untertitel Zchn"/>
    <w:basedOn w:val="Absatz-Standardschriftart"/>
    <w:link w:val="Untertitel"/>
    <w:uiPriority w:val="11"/>
    <w:rsid w:val="00A1611B"/>
    <w:rPr>
      <w:rFonts w:ascii="Arial" w:hAnsi="Arial" w:cs="Arial"/>
      <w:b/>
      <w:lang w:val="fr-FR"/>
    </w:rPr>
  </w:style>
  <w:style w:type="paragraph" w:customStyle="1" w:styleId="Bildunterschrift">
    <w:name w:val="Bildunterschrift"/>
    <w:basedOn w:val="StandardWeb"/>
    <w:link w:val="BildunterschriftZchn"/>
    <w:qFormat/>
    <w:rsid w:val="00A1611B"/>
    <w:pPr>
      <w:spacing w:line="360" w:lineRule="auto"/>
      <w:ind w:right="1273"/>
    </w:pPr>
    <w:rPr>
      <w:rFonts w:cs="Arial"/>
      <w:i/>
      <w:sz w:val="18"/>
      <w:szCs w:val="18"/>
    </w:rPr>
  </w:style>
  <w:style w:type="paragraph" w:customStyle="1" w:styleId="Presse-Fliesstext">
    <w:name w:val="Presse-Fliesstext"/>
    <w:basedOn w:val="Standard"/>
    <w:link w:val="Presse-FliesstextZchn"/>
    <w:qFormat/>
    <w:rsid w:val="00A1611B"/>
    <w:pPr>
      <w:spacing w:after="0" w:line="360" w:lineRule="auto"/>
      <w:ind w:right="1418"/>
    </w:pPr>
  </w:style>
  <w:style w:type="character" w:customStyle="1" w:styleId="StandardWebZchn">
    <w:name w:val="Standard (Web) Zchn"/>
    <w:basedOn w:val="Absatz-Standardschriftart"/>
    <w:link w:val="StandardWeb"/>
    <w:uiPriority w:val="99"/>
    <w:rsid w:val="00A1611B"/>
    <w:rPr>
      <w:rFonts w:ascii="Arial" w:eastAsia="Times New Roman" w:hAnsi="Arial" w:cs="Times New Roman"/>
      <w:lang w:eastAsia="de-DE"/>
    </w:rPr>
  </w:style>
  <w:style w:type="character" w:customStyle="1" w:styleId="BildunterschriftZchn">
    <w:name w:val="Bildunterschrift Zchn"/>
    <w:basedOn w:val="StandardWebZchn"/>
    <w:link w:val="Bildunterschrift"/>
    <w:rsid w:val="00A1611B"/>
    <w:rPr>
      <w:rFonts w:ascii="Arial" w:eastAsia="Times New Roman" w:hAnsi="Arial" w:cs="Arial"/>
      <w:i/>
      <w:sz w:val="18"/>
      <w:szCs w:val="18"/>
      <w:lang w:val="fr-FR" w:eastAsia="de-DE"/>
    </w:rPr>
  </w:style>
  <w:style w:type="paragraph" w:customStyle="1" w:styleId="Fusszeile">
    <w:name w:val="Fusszeile"/>
    <w:basedOn w:val="Standard"/>
    <w:link w:val="FusszeileZchn"/>
    <w:qFormat/>
    <w:rsid w:val="00A1611B"/>
    <w:pPr>
      <w:tabs>
        <w:tab w:val="left" w:pos="450"/>
        <w:tab w:val="left" w:pos="3261"/>
        <w:tab w:val="left" w:pos="5954"/>
        <w:tab w:val="left" w:pos="8789"/>
      </w:tabs>
      <w:spacing w:after="0" w:line="240" w:lineRule="auto"/>
    </w:pPr>
    <w:rPr>
      <w:noProof/>
      <w:sz w:val="14"/>
      <w:szCs w:val="14"/>
    </w:rPr>
  </w:style>
  <w:style w:type="character" w:customStyle="1" w:styleId="Presse-FliesstextZchn">
    <w:name w:val="Presse-Fliesstext Zchn"/>
    <w:basedOn w:val="Absatz-Standardschriftart"/>
    <w:link w:val="Presse-Fliesstext"/>
    <w:rsid w:val="00A1611B"/>
    <w:rPr>
      <w:rFonts w:ascii="Arial" w:hAnsi="Arial" w:cs="Arial"/>
      <w:lang w:val="fr-FR"/>
    </w:rPr>
  </w:style>
  <w:style w:type="character" w:customStyle="1" w:styleId="FusszeileZchn">
    <w:name w:val="Fusszeile Zchn"/>
    <w:basedOn w:val="Absatz-Standardschriftart"/>
    <w:link w:val="Fusszeile"/>
    <w:rsid w:val="00A1611B"/>
    <w:rPr>
      <w:rFonts w:ascii="Arial" w:hAnsi="Arial" w:cs="Arial"/>
      <w:noProof/>
      <w:sz w:val="14"/>
      <w:szCs w:val="14"/>
    </w:rPr>
  </w:style>
  <w:style w:type="paragraph" w:customStyle="1" w:styleId="KopfzeileHeadline">
    <w:name w:val="Kopfzeile Headline"/>
    <w:basedOn w:val="Kopfzeile"/>
    <w:link w:val="KopfzeileHeadlineZchn"/>
    <w:qFormat/>
    <w:rsid w:val="00A1611B"/>
    <w:pPr>
      <w:tabs>
        <w:tab w:val="clear" w:pos="4536"/>
        <w:tab w:val="clear" w:pos="9072"/>
        <w:tab w:val="left" w:pos="975"/>
      </w:tabs>
    </w:pPr>
    <w:rPr>
      <w:b/>
      <w:color w:val="009DE0"/>
      <w:sz w:val="32"/>
      <w:szCs w:val="32"/>
    </w:rPr>
  </w:style>
  <w:style w:type="character" w:customStyle="1" w:styleId="KopfzeileHeadlineZchn">
    <w:name w:val="Kopfzeile Headline Zchn"/>
    <w:basedOn w:val="KopfzeileZchn"/>
    <w:link w:val="KopfzeileHeadline"/>
    <w:rsid w:val="00A1611B"/>
    <w:rPr>
      <w:rFonts w:ascii="Arial" w:hAnsi="Arial" w:cs="Arial"/>
      <w:b/>
      <w:color w:val="009DE0"/>
      <w:sz w:val="32"/>
      <w:szCs w:val="32"/>
    </w:rPr>
  </w:style>
  <w:style w:type="table" w:styleId="Tabellenraster">
    <w:name w:val="Table Grid"/>
    <w:basedOn w:val="NormaleTabelle"/>
    <w:uiPriority w:val="99"/>
    <w:rsid w:val="00F77984"/>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liesstextZchn">
    <w:name w:val="Fliesstext Zchn"/>
    <w:basedOn w:val="Absatz-Standardschriftart"/>
    <w:link w:val="Fliesstext"/>
    <w:locked/>
    <w:rsid w:val="00F77984"/>
    <w:rPr>
      <w:rFonts w:ascii="Arial" w:hAnsi="Arial" w:cs="Arial"/>
      <w:szCs w:val="24"/>
    </w:rPr>
  </w:style>
  <w:style w:type="paragraph" w:customStyle="1" w:styleId="Fliesstext">
    <w:name w:val="Fliesstext"/>
    <w:basedOn w:val="Standard"/>
    <w:link w:val="FliesstextZchn"/>
    <w:qFormat/>
    <w:rsid w:val="00F77984"/>
    <w:pPr>
      <w:spacing w:after="0" w:line="240" w:lineRule="auto"/>
      <w:jc w:val="left"/>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022509">
      <w:bodyDiv w:val="1"/>
      <w:marLeft w:val="0"/>
      <w:marRight w:val="0"/>
      <w:marTop w:val="0"/>
      <w:marBottom w:val="0"/>
      <w:divBdr>
        <w:top w:val="none" w:sz="0" w:space="0" w:color="auto"/>
        <w:left w:val="none" w:sz="0" w:space="0" w:color="auto"/>
        <w:bottom w:val="none" w:sz="0" w:space="0" w:color="auto"/>
        <w:right w:val="none" w:sz="0" w:space="0" w:color="auto"/>
      </w:divBdr>
    </w:div>
    <w:div w:id="294995551">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 w:id="2015456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https://viscotecgmbh.sharepoint.com/teams/Daten/Vorlagen/Pressevorlagen/preeflow-Pressevorlage-D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5286075-C2F9-432C-AD2B-A8F056E4CC62}">
  <we:reference id="wa200002126" version="2.0.0.0" store="de-DE" storeType="OMEX"/>
  <we:alternateReferences>
    <we:reference id="wa200002126" version="2.0.0.0" store="WA200002126"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6" ma:contentTypeDescription="Ein neues Dokument erstellen." ma:contentTypeScope="" ma:versionID="b6cab3dc2548120a31cff2072ceddbfd">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02fde796aca4908c51238434955646f"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674078-421D-432D-A3BC-85C9DCE1634F}">
  <ds:schemaRefs>
    <ds:schemaRef ds:uri="http://schemas.openxmlformats.org/officeDocument/2006/bibliography"/>
  </ds:schemaRefs>
</ds:datastoreItem>
</file>

<file path=customXml/itemProps2.xml><?xml version="1.0" encoding="utf-8"?>
<ds:datastoreItem xmlns:ds="http://schemas.openxmlformats.org/officeDocument/2006/customXml" ds:itemID="{FF44429A-F370-4207-BA22-F44148185AFB}">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62DF1AB4-729B-4C9E-B750-D6AE7770B94C}">
  <ds:schemaRefs>
    <ds:schemaRef ds:uri="http://schemas.microsoft.com/sharepoint/v3/contenttype/forms"/>
  </ds:schemaRefs>
</ds:datastoreItem>
</file>

<file path=customXml/itemProps4.xml><?xml version="1.0" encoding="utf-8"?>
<ds:datastoreItem xmlns:ds="http://schemas.openxmlformats.org/officeDocument/2006/customXml" ds:itemID="{9BEB4A39-EF10-476B-A0EB-01F0DD5F99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preeflow-Pressevorlage-DE.dotx</Template>
  <TotalTime>0</TotalTime>
  <Pages>3</Pages>
  <Words>712</Words>
  <Characters>4486</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Naderer Elisabeth</dc:creator>
  <cp:lastModifiedBy>Kiesenbauer, Lisa</cp:lastModifiedBy>
  <cp:revision>3</cp:revision>
  <dcterms:created xsi:type="dcterms:W3CDTF">2022-03-15T19:30:00Z</dcterms:created>
  <dcterms:modified xsi:type="dcterms:W3CDTF">2022-03-23T06:29:00Z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ies>
</file>