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70C4E" w14:textId="163030FC" w:rsidR="00610C87" w:rsidRPr="006B78C4" w:rsidRDefault="00F77984" w:rsidP="00A1611B">
      <w:r w:rsidRPr="0077652E">
        <w:rPr>
          <w:b/>
          <w:sz w:val="28"/>
          <w:szCs w:val="28"/>
        </w:rPr>
        <w:t>Potenzial zur Prozessoptimierung: Fokus Dosiernadel</w:t>
      </w:r>
    </w:p>
    <w:p w14:paraId="20FCDA8C" w14:textId="5E792B93" w:rsidR="00C135DE" w:rsidRPr="006B78C4" w:rsidRDefault="00F77984" w:rsidP="00A1611B">
      <w:r w:rsidRPr="0077652E">
        <w:rPr>
          <w:b/>
        </w:rPr>
        <w:t>Wie reproduzierbare Qualität bei Endprodukten gesichert werden kann</w:t>
      </w:r>
    </w:p>
    <w:p w14:paraId="13DC80D2" w14:textId="77777777" w:rsidR="00F77984" w:rsidRDefault="00F77984" w:rsidP="00F77984">
      <w:pPr>
        <w:rPr>
          <w:lang w:eastAsia="de-DE"/>
        </w:rPr>
      </w:pPr>
      <w:r>
        <w:rPr>
          <w:lang w:eastAsia="de-DE"/>
        </w:rPr>
        <w:t xml:space="preserve">Einer der wichtigsten Parameter in einem Dosierprozess ist der entstehende Dosierdruck. Nur wenn er kontrollierbar ist, liegen optimale Rahmenbedingungen für ein funktionierendes und prozesssicheres Setup vor. </w:t>
      </w:r>
    </w:p>
    <w:p w14:paraId="0D46B822" w14:textId="77777777" w:rsidR="00F77984" w:rsidRDefault="00F77984" w:rsidP="00F77984">
      <w:pPr>
        <w:rPr>
          <w:lang w:eastAsia="de-DE"/>
        </w:rPr>
      </w:pPr>
      <w:r>
        <w:rPr>
          <w:lang w:eastAsia="de-DE"/>
        </w:rPr>
        <w:t>Bestes Beispiel, bei dem der Dosierdruck zu einem kritischen Parameter wird: Die Applikation von teils hochviskosen und gefüllten Medien in Kombination mit hohen Fördermengen. Kommen hier suboptimale Dosiernadeln – sprich z. B. mit zu kleinem Innendurchmesser – zum Einsatz, erhöht sich der Druck. Die Folge: Das Medium wird teils nachgedrückt. Daraus resultiert nicht selten ein nur bedingt präzises Dosierergebnis mit mangelnder Wiederholgenauigkeit. Die Qualität des Endproduktes ist nicht mehr zu 100 % planbar.</w:t>
      </w:r>
    </w:p>
    <w:p w14:paraId="7DBF5DB8" w14:textId="77777777" w:rsidR="00F77984" w:rsidRDefault="00F77984" w:rsidP="00F77984">
      <w:pPr>
        <w:rPr>
          <w:lang w:eastAsia="de-DE"/>
        </w:rPr>
      </w:pPr>
      <w:r>
        <w:rPr>
          <w:lang w:eastAsia="de-DE"/>
        </w:rPr>
        <w:t xml:space="preserve">Vor diesem Hintergrund ist es deshalb empfehlenswert, die Auswahl der richtigen – zum Prozess und zum Medium passenden – Dosiernadel zum festen Bestandteil einer Evaluierung zu machen und erst dann mit der Dosierung zu starten. </w:t>
      </w:r>
    </w:p>
    <w:p w14:paraId="317B6809" w14:textId="77777777" w:rsidR="00F77984" w:rsidRDefault="00F77984" w:rsidP="00F77984">
      <w:pPr>
        <w:rPr>
          <w:lang w:eastAsia="de-DE"/>
        </w:rPr>
      </w:pPr>
      <w:r>
        <w:rPr>
          <w:lang w:eastAsia="de-DE"/>
        </w:rPr>
        <w:t>Folgende Faktoren sollten bei der Dosiernadel-Wahl in den Entscheidungsprozess einbezogen werden: Nadelmaterial, Innengeometrie und Nadellänge. Diese Nadelparameter beeinflussen das Dosierergebnis und damit die Qualität des Endproduktes. Des Weiteren erweitern diese drei Faktoren die Bandbreite möglicher Prozessparameter und ermöglich damit die weitere kundenseitige Individualisierung eines Dosierprozesses.</w:t>
      </w:r>
    </w:p>
    <w:p w14:paraId="179DBCAD" w14:textId="77777777" w:rsidR="00F77984" w:rsidRDefault="00F77984" w:rsidP="00F77984">
      <w:pPr>
        <w:rPr>
          <w:lang w:eastAsia="de-DE"/>
        </w:rPr>
      </w:pPr>
      <w:r>
        <w:rPr>
          <w:lang w:eastAsia="de-DE"/>
        </w:rPr>
        <w:t>Mit den neu im Sortiment befindlichen konischen Dosiernadeln in den Varianten Himmelblau (Innen Ø 2 mm) und Gelb (Innen Ø 2,5 mm) können Anwender die Dosierbedingungen Ihres Applikationsprozesses noch feiner definieren. Die vergrößerten Innen- bzw. Auslassdurchmesser gewährleisten ein stabil ausgelegtes Dosier-Setup und damit das Optimum im harmonischen Zusammenspiel aus Dosiergeschwindigkeit und Volumenstrom.</w:t>
      </w:r>
    </w:p>
    <w:p w14:paraId="195BF22C" w14:textId="77777777" w:rsidR="00F77984" w:rsidRDefault="00F77984" w:rsidP="00F77984">
      <w:pPr>
        <w:rPr>
          <w:lang w:eastAsia="de-DE"/>
        </w:rPr>
      </w:pPr>
      <w:r>
        <w:rPr>
          <w:lang w:eastAsia="de-DE"/>
        </w:rPr>
        <w:t xml:space="preserve">Die nachfolgende Testreihe verdeutlicht diese Zusammenhänge an einem eco-PEN600. Als Testmedium kam die A-Komponente eines weit verbreiteten Gap-Fillers zum Einsatz. Variiert wurden im Verlauf des Tests der Volumenstrom in Kombination mit verschiedenen Dosiernadeln. </w:t>
      </w:r>
    </w:p>
    <w:p w14:paraId="26DBA484" w14:textId="0AE34A24" w:rsidR="00F77984" w:rsidRDefault="00F77984" w:rsidP="00F77984">
      <w:pPr>
        <w:rPr>
          <w:lang w:eastAsia="de-DE"/>
        </w:rPr>
      </w:pPr>
      <w:r>
        <w:rPr>
          <w:lang w:eastAsia="de-DE"/>
        </w:rPr>
        <w:t xml:space="preserve">Folgende </w:t>
      </w:r>
      <w:proofErr w:type="gramStart"/>
      <w:r>
        <w:rPr>
          <w:lang w:eastAsia="de-DE"/>
        </w:rPr>
        <w:t>Drücke</w:t>
      </w:r>
      <w:proofErr w:type="gramEnd"/>
      <w:r>
        <w:rPr>
          <w:lang w:eastAsia="de-DE"/>
        </w:rPr>
        <w:t xml:space="preserve"> wurden detektiert:</w:t>
      </w:r>
    </w:p>
    <w:tbl>
      <w:tblPr>
        <w:tblStyle w:val="Tabellenraster"/>
        <w:tblW w:w="0" w:type="auto"/>
        <w:tblLook w:val="04A0" w:firstRow="1" w:lastRow="0" w:firstColumn="1" w:lastColumn="0" w:noHBand="0" w:noVBand="1"/>
      </w:tblPr>
      <w:tblGrid>
        <w:gridCol w:w="3351"/>
        <w:gridCol w:w="3351"/>
        <w:gridCol w:w="3351"/>
      </w:tblGrid>
      <w:tr w:rsidR="00F77984" w:rsidRPr="00B21AAA" w14:paraId="46E8A51E" w14:textId="77777777" w:rsidTr="000C0B3F">
        <w:tc>
          <w:tcPr>
            <w:tcW w:w="3351" w:type="dxa"/>
          </w:tcPr>
          <w:p w14:paraId="25C9E183" w14:textId="77777777" w:rsidR="00F77984" w:rsidRPr="00B21AAA" w:rsidRDefault="00F77984" w:rsidP="000C0B3F">
            <w:pPr>
              <w:pStyle w:val="Fliesstext"/>
            </w:pPr>
          </w:p>
        </w:tc>
        <w:tc>
          <w:tcPr>
            <w:tcW w:w="3351" w:type="dxa"/>
          </w:tcPr>
          <w:p w14:paraId="4CDD1BBB" w14:textId="77777777" w:rsidR="00F77984" w:rsidRPr="00B21AAA" w:rsidRDefault="00F77984" w:rsidP="000C0B3F">
            <w:pPr>
              <w:pStyle w:val="Fliesstext"/>
            </w:pPr>
            <w:r w:rsidRPr="00B21AAA">
              <w:t>3,2 ml/min</w:t>
            </w:r>
            <w:r>
              <w:t xml:space="preserve"> (20 %)</w:t>
            </w:r>
          </w:p>
        </w:tc>
        <w:tc>
          <w:tcPr>
            <w:tcW w:w="3351" w:type="dxa"/>
          </w:tcPr>
          <w:p w14:paraId="597DB72A" w14:textId="77777777" w:rsidR="00F77984" w:rsidRPr="00B21AAA" w:rsidRDefault="00F77984" w:rsidP="000C0B3F">
            <w:pPr>
              <w:pStyle w:val="Fliesstext"/>
            </w:pPr>
            <w:r w:rsidRPr="00B21AAA">
              <w:t>6</w:t>
            </w:r>
            <w:r>
              <w:t>,4</w:t>
            </w:r>
            <w:r w:rsidRPr="00B21AAA">
              <w:t xml:space="preserve"> ml/min</w:t>
            </w:r>
            <w:r>
              <w:t xml:space="preserve"> (40 %)</w:t>
            </w:r>
          </w:p>
        </w:tc>
      </w:tr>
      <w:tr w:rsidR="00F77984" w:rsidRPr="00B21AAA" w14:paraId="40616FD5" w14:textId="77777777" w:rsidTr="000C0B3F">
        <w:tc>
          <w:tcPr>
            <w:tcW w:w="3351" w:type="dxa"/>
          </w:tcPr>
          <w:p w14:paraId="66134816" w14:textId="77777777" w:rsidR="00F77984" w:rsidRPr="00B21AAA" w:rsidRDefault="00F77984" w:rsidP="000C0B3F">
            <w:pPr>
              <w:pStyle w:val="Fliesstext"/>
            </w:pPr>
            <w:r w:rsidRPr="00B21AAA">
              <w:t>Grün (ID 0,84 mm)</w:t>
            </w:r>
          </w:p>
        </w:tc>
        <w:tc>
          <w:tcPr>
            <w:tcW w:w="3351" w:type="dxa"/>
          </w:tcPr>
          <w:p w14:paraId="0CC16C2E" w14:textId="77777777" w:rsidR="00F77984" w:rsidRPr="00B21AAA" w:rsidRDefault="00F77984" w:rsidP="000C0B3F">
            <w:pPr>
              <w:pStyle w:val="Fliesstext"/>
            </w:pPr>
            <w:r w:rsidRPr="00B21AAA">
              <w:t>9 bar</w:t>
            </w:r>
          </w:p>
        </w:tc>
        <w:tc>
          <w:tcPr>
            <w:tcW w:w="3351" w:type="dxa"/>
          </w:tcPr>
          <w:p w14:paraId="735FE1AC" w14:textId="77777777" w:rsidR="00F77984" w:rsidRPr="00B21AAA" w:rsidRDefault="00F77984" w:rsidP="000C0B3F">
            <w:pPr>
              <w:pStyle w:val="Fliesstext"/>
            </w:pPr>
            <w:r w:rsidRPr="00B21AAA">
              <w:t>15 bar</w:t>
            </w:r>
          </w:p>
        </w:tc>
      </w:tr>
      <w:tr w:rsidR="00F77984" w:rsidRPr="00B21AAA" w14:paraId="640C10BF" w14:textId="77777777" w:rsidTr="000C0B3F">
        <w:tc>
          <w:tcPr>
            <w:tcW w:w="3351" w:type="dxa"/>
          </w:tcPr>
          <w:p w14:paraId="750C0B07" w14:textId="77777777" w:rsidR="00F77984" w:rsidRPr="00B21AAA" w:rsidRDefault="00F77984" w:rsidP="000C0B3F">
            <w:pPr>
              <w:pStyle w:val="Fliesstext"/>
            </w:pPr>
            <w:r w:rsidRPr="00B21AAA">
              <w:t>Oliv (ID 1,6 mm)</w:t>
            </w:r>
          </w:p>
        </w:tc>
        <w:tc>
          <w:tcPr>
            <w:tcW w:w="3351" w:type="dxa"/>
          </w:tcPr>
          <w:p w14:paraId="6A1004C6" w14:textId="77777777" w:rsidR="00F77984" w:rsidRPr="00B21AAA" w:rsidRDefault="00F77984" w:rsidP="000C0B3F">
            <w:pPr>
              <w:pStyle w:val="Fliesstext"/>
            </w:pPr>
            <w:r w:rsidRPr="00B21AAA">
              <w:t>4 bar</w:t>
            </w:r>
          </w:p>
        </w:tc>
        <w:tc>
          <w:tcPr>
            <w:tcW w:w="3351" w:type="dxa"/>
          </w:tcPr>
          <w:p w14:paraId="03941C3D" w14:textId="77777777" w:rsidR="00F77984" w:rsidRPr="00B21AAA" w:rsidRDefault="00F77984" w:rsidP="000C0B3F">
            <w:pPr>
              <w:pStyle w:val="Fliesstext"/>
            </w:pPr>
            <w:r w:rsidRPr="00B21AAA">
              <w:t>7 bar</w:t>
            </w:r>
          </w:p>
        </w:tc>
      </w:tr>
      <w:tr w:rsidR="00F77984" w:rsidRPr="00B21AAA" w14:paraId="396D1559" w14:textId="77777777" w:rsidTr="000C0B3F">
        <w:tc>
          <w:tcPr>
            <w:tcW w:w="3351" w:type="dxa"/>
          </w:tcPr>
          <w:p w14:paraId="3DEB5F41" w14:textId="77777777" w:rsidR="00F77984" w:rsidRPr="00B21AAA" w:rsidRDefault="00F77984" w:rsidP="000C0B3F">
            <w:pPr>
              <w:pStyle w:val="Fliesstext"/>
            </w:pPr>
            <w:r w:rsidRPr="00B21AAA">
              <w:t>Himmelblau (ID 2,0 mm)</w:t>
            </w:r>
          </w:p>
        </w:tc>
        <w:tc>
          <w:tcPr>
            <w:tcW w:w="3351" w:type="dxa"/>
          </w:tcPr>
          <w:p w14:paraId="09B221B9" w14:textId="77777777" w:rsidR="00F77984" w:rsidRPr="00B21AAA" w:rsidRDefault="00F77984" w:rsidP="000C0B3F">
            <w:pPr>
              <w:pStyle w:val="Fliesstext"/>
            </w:pPr>
            <w:r w:rsidRPr="00B21AAA">
              <w:t>3 bar</w:t>
            </w:r>
          </w:p>
        </w:tc>
        <w:tc>
          <w:tcPr>
            <w:tcW w:w="3351" w:type="dxa"/>
          </w:tcPr>
          <w:p w14:paraId="11C47945" w14:textId="77777777" w:rsidR="00F77984" w:rsidRPr="00B21AAA" w:rsidRDefault="00F77984" w:rsidP="000C0B3F">
            <w:pPr>
              <w:pStyle w:val="Fliesstext"/>
            </w:pPr>
            <w:r w:rsidRPr="00B21AAA">
              <w:t>5 bar</w:t>
            </w:r>
          </w:p>
        </w:tc>
      </w:tr>
      <w:tr w:rsidR="00F77984" w:rsidRPr="00B21AAA" w14:paraId="24D6AC8F" w14:textId="77777777" w:rsidTr="000C0B3F">
        <w:tc>
          <w:tcPr>
            <w:tcW w:w="3351" w:type="dxa"/>
          </w:tcPr>
          <w:p w14:paraId="28D8C389" w14:textId="77777777" w:rsidR="00F77984" w:rsidRPr="00B21AAA" w:rsidRDefault="00F77984" w:rsidP="000C0B3F">
            <w:pPr>
              <w:pStyle w:val="Fliesstext"/>
            </w:pPr>
            <w:r w:rsidRPr="00B21AAA">
              <w:t>Gelb (ID 2,5 mm)</w:t>
            </w:r>
          </w:p>
        </w:tc>
        <w:tc>
          <w:tcPr>
            <w:tcW w:w="3351" w:type="dxa"/>
          </w:tcPr>
          <w:p w14:paraId="1ED22E32" w14:textId="77777777" w:rsidR="00F77984" w:rsidRPr="00B21AAA" w:rsidRDefault="00F77984" w:rsidP="000C0B3F">
            <w:pPr>
              <w:pStyle w:val="Fliesstext"/>
            </w:pPr>
            <w:r w:rsidRPr="00B21AAA">
              <w:t>3 bar</w:t>
            </w:r>
          </w:p>
        </w:tc>
        <w:tc>
          <w:tcPr>
            <w:tcW w:w="3351" w:type="dxa"/>
          </w:tcPr>
          <w:p w14:paraId="0042FC53" w14:textId="77777777" w:rsidR="00F77984" w:rsidRPr="00B21AAA" w:rsidRDefault="00F77984" w:rsidP="000C0B3F">
            <w:pPr>
              <w:pStyle w:val="Fliesstext"/>
            </w:pPr>
            <w:r w:rsidRPr="00B21AAA">
              <w:t>5 bar</w:t>
            </w:r>
          </w:p>
        </w:tc>
      </w:tr>
      <w:tr w:rsidR="00F77984" w:rsidRPr="00B21AAA" w14:paraId="15F06505" w14:textId="77777777" w:rsidTr="000C0B3F">
        <w:tc>
          <w:tcPr>
            <w:tcW w:w="3351" w:type="dxa"/>
          </w:tcPr>
          <w:p w14:paraId="5AA6AA76" w14:textId="77777777" w:rsidR="00F77984" w:rsidRPr="00B21AAA" w:rsidRDefault="00F77984" w:rsidP="000C0B3F">
            <w:pPr>
              <w:pStyle w:val="Fliesstext"/>
            </w:pPr>
            <w:r w:rsidRPr="00B21AAA">
              <w:t>Offenes Ende</w:t>
            </w:r>
          </w:p>
        </w:tc>
        <w:tc>
          <w:tcPr>
            <w:tcW w:w="3351" w:type="dxa"/>
          </w:tcPr>
          <w:p w14:paraId="46E66827" w14:textId="77777777" w:rsidR="00F77984" w:rsidRPr="00B21AAA" w:rsidRDefault="00F77984" w:rsidP="000C0B3F">
            <w:pPr>
              <w:pStyle w:val="Fliesstext"/>
            </w:pPr>
            <w:r w:rsidRPr="00B21AAA">
              <w:t>2 bar</w:t>
            </w:r>
          </w:p>
        </w:tc>
        <w:tc>
          <w:tcPr>
            <w:tcW w:w="3351" w:type="dxa"/>
          </w:tcPr>
          <w:p w14:paraId="1036809B" w14:textId="77777777" w:rsidR="00F77984" w:rsidRPr="00B21AAA" w:rsidRDefault="00F77984" w:rsidP="000C0B3F">
            <w:pPr>
              <w:pStyle w:val="Fliesstext"/>
            </w:pPr>
            <w:r w:rsidRPr="00B21AAA">
              <w:t>3 bar</w:t>
            </w:r>
          </w:p>
        </w:tc>
      </w:tr>
    </w:tbl>
    <w:p w14:paraId="6D300E70" w14:textId="77777777" w:rsidR="00F77984" w:rsidRDefault="00F77984" w:rsidP="00F77984">
      <w:pPr>
        <w:rPr>
          <w:lang w:eastAsia="de-DE"/>
        </w:rPr>
      </w:pPr>
    </w:p>
    <w:p w14:paraId="67A6CD48" w14:textId="77777777" w:rsidR="00F77984" w:rsidRDefault="00F77984" w:rsidP="00F77984">
      <w:pPr>
        <w:rPr>
          <w:lang w:eastAsia="de-DE"/>
        </w:rPr>
      </w:pPr>
      <w:r>
        <w:rPr>
          <w:lang w:eastAsia="de-DE"/>
        </w:rPr>
        <w:lastRenderedPageBreak/>
        <w:t xml:space="preserve">Deutlich erkennbar in den erfassten Datenreihen ist der geringere Druck unter Einsatz der Dosiernadeln der Typen Himmelblau bzw. Gelb. Die so verbesserten Prozessbedingungen bilden die Grundlage, um höhere Dosiergeschwindigkeiten und Volumenströme realisieren und gleichzeitig die immer gleiche und reproduzierbare Qualität garantieren zu können. </w:t>
      </w:r>
    </w:p>
    <w:p w14:paraId="051E20E5" w14:textId="77777777" w:rsidR="00F77984" w:rsidRDefault="00F77984" w:rsidP="00F77984">
      <w:pPr>
        <w:rPr>
          <w:lang w:eastAsia="de-DE"/>
        </w:rPr>
      </w:pPr>
      <w:r>
        <w:rPr>
          <w:lang w:eastAsia="de-DE"/>
        </w:rPr>
        <w:t xml:space="preserve">Beide Nadelvarianten bedienen sich des etablierten Luer-Lock-Anschlusses und sind damit für alle </w:t>
      </w:r>
      <w:proofErr w:type="spellStart"/>
      <w:r>
        <w:rPr>
          <w:lang w:eastAsia="de-DE"/>
        </w:rPr>
        <w:t>preeflow</w:t>
      </w:r>
      <w:proofErr w:type="spellEnd"/>
      <w:r>
        <w:rPr>
          <w:lang w:eastAsia="de-DE"/>
        </w:rPr>
        <w:t xml:space="preserve">-Produkte der </w:t>
      </w:r>
      <w:proofErr w:type="spellStart"/>
      <w:r>
        <w:rPr>
          <w:lang w:eastAsia="de-DE"/>
        </w:rPr>
        <w:t>eco</w:t>
      </w:r>
      <w:proofErr w:type="spellEnd"/>
      <w:r>
        <w:rPr>
          <w:lang w:eastAsia="de-DE"/>
        </w:rPr>
        <w:t>-PEN Familie nutzbar.</w:t>
      </w:r>
    </w:p>
    <w:p w14:paraId="19701668" w14:textId="26C755DC" w:rsidR="00F77984" w:rsidRDefault="00F77984" w:rsidP="00F77984">
      <w:pPr>
        <w:rPr>
          <w:lang w:eastAsia="de-DE"/>
        </w:rPr>
      </w:pPr>
      <w:r>
        <w:rPr>
          <w:lang w:eastAsia="de-DE"/>
        </w:rPr>
        <w:t xml:space="preserve">Die Varianten Gelb und Himmelblau sind ab sofort verfügbar. </w:t>
      </w:r>
    </w:p>
    <w:p w14:paraId="5D5DD215" w14:textId="5E7C01AD" w:rsidR="00974CD8" w:rsidRPr="00974CD8" w:rsidRDefault="00F77984" w:rsidP="00F77984">
      <w:r>
        <w:rPr>
          <w:lang w:eastAsia="de-DE"/>
        </w:rPr>
        <w:t>2913 Zeichen inkl. Leerzeichen. Abdruck honorarfrei. Beleg erbeten.</w:t>
      </w:r>
    </w:p>
    <w:p w14:paraId="73516557" w14:textId="77777777" w:rsidR="00974CD8" w:rsidRPr="00974CD8" w:rsidRDefault="00974CD8" w:rsidP="00A1611B"/>
    <w:p w14:paraId="14A9A229" w14:textId="77777777" w:rsidR="00A1611B" w:rsidRDefault="00440F2B" w:rsidP="00A1611B">
      <w:pPr>
        <w:pStyle w:val="Untertitel"/>
      </w:pPr>
      <w:proofErr w:type="spellStart"/>
      <w:r>
        <w:t>Bildmaterial</w:t>
      </w:r>
      <w:proofErr w:type="spellEnd"/>
      <w:r w:rsidR="00A1611B">
        <w:t>:</w:t>
      </w:r>
    </w:p>
    <w:p w14:paraId="4ABEB392" w14:textId="277D9049" w:rsidR="00974CD8" w:rsidRPr="00974CD8" w:rsidRDefault="00433DDE" w:rsidP="00A1611B">
      <w:pPr>
        <w:pStyle w:val="Untertitel"/>
      </w:pPr>
      <w:r>
        <w:rPr>
          <w:noProof/>
        </w:rPr>
        <w:drawing>
          <wp:inline distT="0" distB="0" distL="0" distR="0" wp14:anchorId="2AC391CB" wp14:editId="7A9718BB">
            <wp:extent cx="1291304" cy="1935480"/>
            <wp:effectExtent l="0" t="0" r="444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554" cy="1941850"/>
                    </a:xfrm>
                    <a:prstGeom prst="rect">
                      <a:avLst/>
                    </a:prstGeom>
                  </pic:spPr>
                </pic:pic>
              </a:graphicData>
            </a:graphic>
          </wp:inline>
        </w:drawing>
      </w:r>
      <w:r w:rsidR="003C3B5F">
        <w:t xml:space="preserve">                                            </w:t>
      </w:r>
      <w:r w:rsidR="003C3B5F">
        <w:rPr>
          <w:noProof/>
        </w:rPr>
        <w:drawing>
          <wp:inline distT="0" distB="0" distL="0" distR="0" wp14:anchorId="6A2B7CD0" wp14:editId="54B932BD">
            <wp:extent cx="2887980" cy="1926755"/>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5171" cy="1938224"/>
                    </a:xfrm>
                    <a:prstGeom prst="rect">
                      <a:avLst/>
                    </a:prstGeom>
                  </pic:spPr>
                </pic:pic>
              </a:graphicData>
            </a:graphic>
          </wp:inline>
        </w:drawing>
      </w:r>
    </w:p>
    <w:p w14:paraId="10FBB61E" w14:textId="3EB7AE1B" w:rsidR="00974CD8" w:rsidRPr="00440F2B" w:rsidRDefault="00A41C3F" w:rsidP="00A1611B">
      <w:pPr>
        <w:pStyle w:val="Bildunterschrift"/>
        <w:rPr>
          <w:lang w:val="de-DE"/>
        </w:rPr>
      </w:pPr>
      <w:proofErr w:type="spellStart"/>
      <w:r>
        <w:rPr>
          <w:lang w:val="de-DE"/>
        </w:rPr>
        <w:t>preeflow</w:t>
      </w:r>
      <w:proofErr w:type="spellEnd"/>
      <w:r>
        <w:rPr>
          <w:lang w:val="de-DE"/>
        </w:rPr>
        <w:t xml:space="preserve"> </w:t>
      </w:r>
      <w:proofErr w:type="spellStart"/>
      <w:r w:rsidR="003C3B5F">
        <w:rPr>
          <w:lang w:val="de-DE"/>
        </w:rPr>
        <w:t>eco</w:t>
      </w:r>
      <w:proofErr w:type="spellEnd"/>
      <w:r w:rsidR="003C3B5F">
        <w:rPr>
          <w:lang w:val="de-DE"/>
        </w:rPr>
        <w:t xml:space="preserve">-PEN mit </w:t>
      </w:r>
      <w:r w:rsidR="004B02CD">
        <w:rPr>
          <w:lang w:val="de-DE"/>
        </w:rPr>
        <w:t>Dosiernadel „Gelb“</w:t>
      </w:r>
      <w:r>
        <w:rPr>
          <w:lang w:val="de-DE"/>
        </w:rPr>
        <w:tab/>
        <w:t xml:space="preserve">          </w:t>
      </w:r>
      <w:r w:rsidR="004B02CD">
        <w:rPr>
          <w:lang w:val="de-DE"/>
        </w:rPr>
        <w:t>Übersicht</w:t>
      </w:r>
      <w:r>
        <w:rPr>
          <w:lang w:val="de-DE"/>
        </w:rPr>
        <w:t xml:space="preserve"> </w:t>
      </w:r>
      <w:proofErr w:type="spellStart"/>
      <w:r>
        <w:rPr>
          <w:lang w:val="de-DE"/>
        </w:rPr>
        <w:t>preeflow</w:t>
      </w:r>
      <w:proofErr w:type="spellEnd"/>
      <w:r>
        <w:rPr>
          <w:lang w:val="de-DE"/>
        </w:rPr>
        <w:t xml:space="preserve"> Verbrauchsmaterial</w:t>
      </w:r>
      <w:r w:rsidR="004B02CD">
        <w:rPr>
          <w:lang w:val="de-DE"/>
        </w:rPr>
        <w:t xml:space="preserve"> Dosiernadeln</w:t>
      </w:r>
    </w:p>
    <w:p w14:paraId="23865AB7" w14:textId="77777777" w:rsidR="00D56D5D" w:rsidRPr="00440F2B" w:rsidRDefault="00D56D5D" w:rsidP="00A1611B">
      <w:pPr>
        <w:pStyle w:val="Untertitel"/>
        <w:rPr>
          <w:lang w:val="de-DE"/>
        </w:rPr>
      </w:pPr>
      <w:r w:rsidRPr="00440F2B">
        <w:rPr>
          <w:lang w:val="de-DE"/>
        </w:rPr>
        <w:t>Mikrodosierung in Perfektion!</w:t>
      </w:r>
    </w:p>
    <w:p w14:paraId="7452F2B2" w14:textId="3C542B35" w:rsidR="00427264" w:rsidRDefault="00427264" w:rsidP="00427264">
      <w:proofErr w:type="spellStart"/>
      <w:r>
        <w:t>preeflow</w:t>
      </w:r>
      <w:proofErr w:type="spellEnd"/>
      <w:r>
        <w:rPr>
          <w:vertAlign w:val="superscript"/>
        </w:rPr>
        <w:t>®</w:t>
      </w:r>
      <w:r>
        <w:t xml:space="preserve"> steht für präzises, rein volumetrisches Dosieren von Flüssigkeiten in Kleinstmengen und entstand im Jahr 2008. Weltweit werden </w:t>
      </w:r>
      <w:proofErr w:type="spellStart"/>
      <w:r>
        <w:t>preeflow</w:t>
      </w:r>
      <w:proofErr w:type="spellEnd"/>
      <w:r>
        <w:rPr>
          <w:vertAlign w:val="superscript"/>
        </w:rPr>
        <w:t>®</w:t>
      </w:r>
      <w:r>
        <w:t xml:space="preserve"> Produkte geschätzt, nicht zuletzt aufgrund einzigartiger Qualität – Made in Germany. Ein internationales Händlernetz bietet professionellen Service und Support rund um die </w:t>
      </w:r>
      <w:proofErr w:type="spellStart"/>
      <w:r>
        <w:t>preeflow</w:t>
      </w:r>
      <w:proofErr w:type="spellEnd"/>
      <w:r>
        <w:t xml:space="preserve"> Dosiersysteme. Die vielfältigen Anwendungsbereiche umfassen unter anderem die Branchen Automotive, Elektro- und Elektronikindustrie, Medizintechnik, Luft- und Raumfahrt, erneuerbare Energien, Elektro- und Hybridtechnik und Mess- und Sensortechnik. Alle </w:t>
      </w:r>
      <w:proofErr w:type="spellStart"/>
      <w:r>
        <w:t>preeflow</w:t>
      </w:r>
      <w:proofErr w:type="spellEnd"/>
      <w:r>
        <w:rPr>
          <w:vertAlign w:val="superscript"/>
        </w:rPr>
        <w:t>®</w:t>
      </w:r>
      <w:r>
        <w:t xml:space="preserve"> Systeme lassen sich dank standardisierter Schnittstellen einfach integrieren. Weltweit arbeiten über 50.000 </w:t>
      </w:r>
      <w:proofErr w:type="spellStart"/>
      <w:r>
        <w:t>preeflow</w:t>
      </w:r>
      <w:proofErr w:type="spellEnd"/>
      <w:r>
        <w:rPr>
          <w:vertAlign w:val="superscript"/>
        </w:rPr>
        <w:t>®</w:t>
      </w:r>
      <w:r>
        <w:t xml:space="preserve"> Systeme in halb- oder vollautomatischen Dosieranwendungen zur vollsten Zufriedenheit der Anwender und Kunden. </w:t>
      </w:r>
      <w:proofErr w:type="spellStart"/>
      <w:r>
        <w:t>preeflow</w:t>
      </w:r>
      <w:proofErr w:type="spellEnd"/>
      <w:r>
        <w:rPr>
          <w:vertAlign w:val="superscript"/>
        </w:rPr>
        <w:t>®</w:t>
      </w:r>
      <w:r>
        <w:t xml:space="preserve"> ist eine Marke von </w:t>
      </w:r>
      <w:proofErr w:type="spellStart"/>
      <w:r>
        <w:t>ViscoTec</w:t>
      </w:r>
      <w:proofErr w:type="spellEnd"/>
      <w:r>
        <w:t xml:space="preserve"> Pumpen- u. Dosiertechnik GmbH. </w:t>
      </w:r>
      <w:proofErr w:type="spellStart"/>
      <w:r>
        <w:t>ViscoTec</w:t>
      </w:r>
      <w:proofErr w:type="spellEnd"/>
      <w:r>
        <w:t xml:space="preserve">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w:t>
      </w:r>
      <w:proofErr w:type="spellStart"/>
      <w:r>
        <w:t>ViscoTec</w:t>
      </w:r>
      <w:proofErr w:type="spellEnd"/>
      <w:r>
        <w:t xml:space="preserve"> über Niederlassungen in den USA, in China, Singapur, Indien und Frankreich und beschäftigt weltweit rund </w:t>
      </w:r>
      <w:r w:rsidR="0077652E">
        <w:t>300</w:t>
      </w:r>
      <w:r>
        <w:t xml:space="preserve"> </w:t>
      </w:r>
      <w:proofErr w:type="spellStart"/>
      <w:r>
        <w:t>Mitarbeiter</w:t>
      </w:r>
      <w:r w:rsidR="003A28AE">
        <w:t>:</w:t>
      </w:r>
      <w:r>
        <w:t>innen</w:t>
      </w:r>
      <w:proofErr w:type="spellEnd"/>
      <w:r>
        <w:t>.</w:t>
      </w:r>
    </w:p>
    <w:p w14:paraId="2D359D29" w14:textId="77777777" w:rsidR="00BD097C" w:rsidRDefault="00BD097C" w:rsidP="00A1611B"/>
    <w:p w14:paraId="7CDB0987" w14:textId="77777777" w:rsidR="00BD097C" w:rsidRDefault="00BD097C" w:rsidP="00A1611B"/>
    <w:p w14:paraId="7A0985DD" w14:textId="77777777" w:rsidR="00BD097C" w:rsidRPr="00A1611B" w:rsidRDefault="00BD097C" w:rsidP="00A1611B">
      <w:pPr>
        <w:pStyle w:val="Untertitel"/>
        <w:rPr>
          <w:lang w:val="de-DE"/>
        </w:rPr>
      </w:pPr>
      <w:r w:rsidRPr="00A1611B">
        <w:rPr>
          <w:lang w:val="de-DE"/>
        </w:rPr>
        <w:t>Pressekontakt:</w:t>
      </w:r>
    </w:p>
    <w:p w14:paraId="5A615902" w14:textId="77777777" w:rsidR="000F053C" w:rsidRPr="003F684A" w:rsidRDefault="000F053C" w:rsidP="000F053C">
      <w:pPr>
        <w:spacing w:after="0"/>
      </w:pPr>
      <w:r w:rsidRPr="003F684A">
        <w:t>Thomas Diringer, Leiter Geschäftsfeld Components &amp; Devices</w:t>
      </w:r>
    </w:p>
    <w:p w14:paraId="63A086F4" w14:textId="77777777" w:rsidR="000F053C" w:rsidRPr="003F684A" w:rsidRDefault="000F053C" w:rsidP="000F053C">
      <w:pPr>
        <w:spacing w:after="0"/>
      </w:pPr>
      <w:proofErr w:type="spellStart"/>
      <w:r w:rsidRPr="003F684A">
        <w:t>ViscoTec</w:t>
      </w:r>
      <w:proofErr w:type="spellEnd"/>
      <w:r w:rsidRPr="003F684A">
        <w:t xml:space="preserve"> Pumpen- u. Dosiertechnik GmbH</w:t>
      </w:r>
    </w:p>
    <w:p w14:paraId="206627B1" w14:textId="77777777" w:rsidR="000F053C" w:rsidRPr="003F684A" w:rsidRDefault="000F053C" w:rsidP="000F053C">
      <w:pPr>
        <w:spacing w:after="0"/>
      </w:pPr>
      <w:proofErr w:type="spellStart"/>
      <w:r w:rsidRPr="003F684A">
        <w:t>Amperstraße</w:t>
      </w:r>
      <w:proofErr w:type="spellEnd"/>
      <w:r w:rsidRPr="003F684A">
        <w:t xml:space="preserve"> 13, D-84513 Töging a. Inn</w:t>
      </w:r>
    </w:p>
    <w:p w14:paraId="0A0D7E1B" w14:textId="77777777" w:rsidR="000F053C" w:rsidRPr="003A28AE" w:rsidRDefault="000F053C" w:rsidP="000F053C">
      <w:pPr>
        <w:spacing w:after="0"/>
        <w:rPr>
          <w:lang w:val="it-IT"/>
        </w:rPr>
      </w:pPr>
      <w:proofErr w:type="spellStart"/>
      <w:r w:rsidRPr="003A28AE">
        <w:rPr>
          <w:lang w:val="it-IT"/>
        </w:rPr>
        <w:t>Telefon</w:t>
      </w:r>
      <w:proofErr w:type="spellEnd"/>
      <w:r w:rsidRPr="003A28AE">
        <w:rPr>
          <w:lang w:val="it-IT"/>
        </w:rPr>
        <w:t xml:space="preserve"> +49 8631 9274-441 </w:t>
      </w:r>
    </w:p>
    <w:p w14:paraId="42AB8C41" w14:textId="77777777" w:rsidR="000F053C" w:rsidRPr="003A28AE" w:rsidRDefault="000F053C" w:rsidP="000F053C">
      <w:pPr>
        <w:spacing w:after="0"/>
        <w:rPr>
          <w:lang w:val="it-IT"/>
        </w:rPr>
      </w:pPr>
      <w:r w:rsidRPr="003A28AE">
        <w:rPr>
          <w:lang w:val="it-IT"/>
        </w:rPr>
        <w:t>E-Mail: thomas.diringer@viscotec.de · www.preeflow.com</w:t>
      </w:r>
    </w:p>
    <w:p w14:paraId="4A30672A" w14:textId="77777777" w:rsidR="000F053C" w:rsidRPr="003A28AE" w:rsidRDefault="000F053C" w:rsidP="000F053C">
      <w:pPr>
        <w:spacing w:after="0"/>
        <w:rPr>
          <w:lang w:val="it-IT"/>
        </w:rPr>
      </w:pPr>
    </w:p>
    <w:p w14:paraId="3DF29006" w14:textId="77777777" w:rsidR="003A28AE" w:rsidRPr="00AB56B6" w:rsidRDefault="00390CBD" w:rsidP="00AB56B6">
      <w:pPr>
        <w:spacing w:after="0"/>
      </w:pPr>
      <w:r>
        <w:t>Lisa Kiesenbauer</w:t>
      </w:r>
      <w:r w:rsidR="003A28AE" w:rsidRPr="00AB56B6">
        <w:t>, Marketing</w:t>
      </w:r>
    </w:p>
    <w:p w14:paraId="1D8C00E3" w14:textId="77777777" w:rsidR="003A28AE" w:rsidRDefault="003A28AE" w:rsidP="00AB56B6">
      <w:pPr>
        <w:spacing w:after="0"/>
      </w:pPr>
      <w:proofErr w:type="spellStart"/>
      <w:r>
        <w:t>ViscoTec</w:t>
      </w:r>
      <w:proofErr w:type="spellEnd"/>
      <w:r>
        <w:t xml:space="preserve"> Pumpen- u. Dosiertechnik GmbH</w:t>
      </w:r>
    </w:p>
    <w:p w14:paraId="1F0ABB9D" w14:textId="77777777" w:rsidR="003A28AE" w:rsidRDefault="003A28AE" w:rsidP="00AB56B6">
      <w:pPr>
        <w:spacing w:after="0"/>
      </w:pPr>
      <w:proofErr w:type="spellStart"/>
      <w:r>
        <w:t>Amperstraße</w:t>
      </w:r>
      <w:proofErr w:type="spellEnd"/>
      <w:r>
        <w:t xml:space="preserve"> 13, D-84513 Töging a. Inn</w:t>
      </w:r>
    </w:p>
    <w:p w14:paraId="79CC43E2" w14:textId="77777777" w:rsidR="003A28AE" w:rsidRPr="003A28AE" w:rsidRDefault="003A28AE" w:rsidP="00AB56B6">
      <w:pPr>
        <w:spacing w:after="0"/>
      </w:pPr>
      <w:r w:rsidRPr="003A28AE">
        <w:t>Telefon +49 8631 9274-</w:t>
      </w:r>
      <w:r w:rsidR="00390CBD">
        <w:t>0</w:t>
      </w:r>
      <w:r w:rsidRPr="003A28AE">
        <w:t xml:space="preserve"> </w:t>
      </w:r>
    </w:p>
    <w:p w14:paraId="2C552ABE" w14:textId="77777777" w:rsidR="003A28AE" w:rsidRPr="00AB56B6" w:rsidRDefault="003A28AE" w:rsidP="00AB56B6">
      <w:pPr>
        <w:spacing w:after="0"/>
      </w:pPr>
      <w:r w:rsidRPr="00AB56B6">
        <w:t xml:space="preserve">E-Mail: </w:t>
      </w:r>
      <w:r w:rsidR="00390CBD">
        <w:t>lisa.kiesenbauer</w:t>
      </w:r>
      <w:r w:rsidRPr="00AB56B6">
        <w:t>@viscotec.de · www.viscotec.de</w:t>
      </w:r>
    </w:p>
    <w:p w14:paraId="5A557564" w14:textId="77777777" w:rsidR="0050565F" w:rsidRPr="00AB56B6" w:rsidRDefault="0050565F" w:rsidP="00AB56B6">
      <w:pPr>
        <w:spacing w:after="0"/>
      </w:pPr>
    </w:p>
    <w:p w14:paraId="1B856A47" w14:textId="77777777" w:rsidR="00207D48" w:rsidRPr="003A28AE" w:rsidRDefault="00207D48" w:rsidP="00A1611B">
      <w:pPr>
        <w:rPr>
          <w:lang w:val="it-IT"/>
        </w:rPr>
      </w:pPr>
    </w:p>
    <w:p w14:paraId="684ADD50"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AB2FD" w14:textId="77777777" w:rsidR="006B0A4B" w:rsidRDefault="006B0A4B" w:rsidP="00A1611B">
      <w:r>
        <w:separator/>
      </w:r>
    </w:p>
  </w:endnote>
  <w:endnote w:type="continuationSeparator" w:id="0">
    <w:p w14:paraId="0B96A072" w14:textId="77777777" w:rsidR="006B0A4B" w:rsidRDefault="006B0A4B"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C6E63" w14:textId="77777777" w:rsidR="00A1611B" w:rsidRPr="00A1611B" w:rsidRDefault="00A1611B" w:rsidP="00A1611B">
    <w:pPr>
      <w:spacing w:after="0" w:line="240" w:lineRule="auto"/>
      <w:rPr>
        <w:noProof/>
        <w:sz w:val="14"/>
        <w:szCs w:val="14"/>
      </w:rPr>
    </w:pPr>
  </w:p>
  <w:p w14:paraId="0063B2B2"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28C1FEBD" wp14:editId="35566E1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548D"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0BCB0B44" w14:textId="77777777" w:rsidR="00A1611B" w:rsidRPr="00A1611B" w:rsidRDefault="00A1611B" w:rsidP="00A1611B">
    <w:pPr>
      <w:spacing w:after="0" w:line="240" w:lineRule="auto"/>
      <w:rPr>
        <w:noProof/>
        <w:sz w:val="14"/>
        <w:szCs w:val="14"/>
      </w:rPr>
    </w:pPr>
  </w:p>
  <w:p w14:paraId="077BF6D1"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39B859E1" w14:textId="77777777" w:rsidR="00A1611B" w:rsidRPr="00A1611B" w:rsidRDefault="00A1611B" w:rsidP="00A1611B">
    <w:pPr>
      <w:pStyle w:val="Fusszeile"/>
    </w:pPr>
  </w:p>
  <w:p w14:paraId="705CCC87"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331F4E68"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C3656" w14:textId="77777777" w:rsidR="006B0A4B" w:rsidRDefault="006B0A4B" w:rsidP="00A1611B">
      <w:r>
        <w:separator/>
      </w:r>
    </w:p>
  </w:footnote>
  <w:footnote w:type="continuationSeparator" w:id="0">
    <w:p w14:paraId="5E4968A5" w14:textId="77777777" w:rsidR="006B0A4B" w:rsidRDefault="006B0A4B"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50DD"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7F999CC" wp14:editId="5D8DECCB">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1F55F53F" w14:textId="77777777" w:rsidR="006B78C4" w:rsidRDefault="006B78C4" w:rsidP="00A1611B">
    <w:pPr>
      <w:pStyle w:val="Kopfzeile"/>
    </w:pPr>
  </w:p>
  <w:p w14:paraId="3FAE25E3" w14:textId="77777777" w:rsidR="006B78C4" w:rsidRDefault="006B78C4" w:rsidP="00A1611B">
    <w:pPr>
      <w:pStyle w:val="Kopfzeile"/>
    </w:pPr>
  </w:p>
  <w:p w14:paraId="16F0518E" w14:textId="77777777" w:rsidR="006B78C4" w:rsidRDefault="006B78C4" w:rsidP="00A1611B">
    <w:pPr>
      <w:pStyle w:val="Kopfzeile"/>
    </w:pPr>
  </w:p>
  <w:p w14:paraId="1C757121" w14:textId="77777777" w:rsidR="006B78C4" w:rsidRDefault="006B78C4" w:rsidP="00A1611B">
    <w:pPr>
      <w:pStyle w:val="Kopfzeile"/>
    </w:pPr>
  </w:p>
  <w:p w14:paraId="6081CFD6" w14:textId="77777777" w:rsidR="006B78C4" w:rsidRPr="00BD6574" w:rsidRDefault="006B78C4" w:rsidP="00A1611B">
    <w:pPr>
      <w:pStyle w:val="KopfzeileHeadline"/>
    </w:pPr>
    <w:r w:rsidRPr="00BD6574">
      <w:t>PRESSEMITTEILUNG</w:t>
    </w:r>
  </w:p>
  <w:p w14:paraId="6F0F1E34" w14:textId="77777777" w:rsidR="006B78C4" w:rsidRDefault="006B78C4" w:rsidP="00A1611B">
    <w:pPr>
      <w:pStyle w:val="Kopfzeile"/>
    </w:pPr>
  </w:p>
  <w:p w14:paraId="3206AC73" w14:textId="77777777" w:rsidR="006B78C4" w:rsidRDefault="006B78C4" w:rsidP="00A1611B">
    <w:pPr>
      <w:pStyle w:val="Kopfzeile"/>
    </w:pPr>
  </w:p>
  <w:p w14:paraId="45127F7C"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84"/>
    <w:rsid w:val="00051241"/>
    <w:rsid w:val="0007129F"/>
    <w:rsid w:val="000B283B"/>
    <w:rsid w:val="000B44E6"/>
    <w:rsid w:val="000D7869"/>
    <w:rsid w:val="000F053C"/>
    <w:rsid w:val="000F3990"/>
    <w:rsid w:val="00100CE6"/>
    <w:rsid w:val="00165813"/>
    <w:rsid w:val="0019178B"/>
    <w:rsid w:val="00207D48"/>
    <w:rsid w:val="00213097"/>
    <w:rsid w:val="00214BE3"/>
    <w:rsid w:val="00216DE4"/>
    <w:rsid w:val="002B4444"/>
    <w:rsid w:val="002B7864"/>
    <w:rsid w:val="002C1B58"/>
    <w:rsid w:val="00304C95"/>
    <w:rsid w:val="00346F0D"/>
    <w:rsid w:val="003857C3"/>
    <w:rsid w:val="00390CBD"/>
    <w:rsid w:val="003A23BF"/>
    <w:rsid w:val="003A28AE"/>
    <w:rsid w:val="003C3B5F"/>
    <w:rsid w:val="00427264"/>
    <w:rsid w:val="00433DDE"/>
    <w:rsid w:val="00440F2B"/>
    <w:rsid w:val="004779ED"/>
    <w:rsid w:val="004B02CD"/>
    <w:rsid w:val="004E287D"/>
    <w:rsid w:val="004F0705"/>
    <w:rsid w:val="00502B11"/>
    <w:rsid w:val="0050565F"/>
    <w:rsid w:val="00592CA1"/>
    <w:rsid w:val="00610C87"/>
    <w:rsid w:val="006370DC"/>
    <w:rsid w:val="006B0A4B"/>
    <w:rsid w:val="006B78C4"/>
    <w:rsid w:val="006C6AE2"/>
    <w:rsid w:val="006E2BC6"/>
    <w:rsid w:val="00756476"/>
    <w:rsid w:val="0077652E"/>
    <w:rsid w:val="00782414"/>
    <w:rsid w:val="0079149C"/>
    <w:rsid w:val="00791C50"/>
    <w:rsid w:val="007C6E88"/>
    <w:rsid w:val="007E6CA0"/>
    <w:rsid w:val="008179BD"/>
    <w:rsid w:val="0087508C"/>
    <w:rsid w:val="008B099F"/>
    <w:rsid w:val="008B0A02"/>
    <w:rsid w:val="008F388C"/>
    <w:rsid w:val="00974CD8"/>
    <w:rsid w:val="00992BE1"/>
    <w:rsid w:val="009A6CE5"/>
    <w:rsid w:val="009C38DB"/>
    <w:rsid w:val="009D0A72"/>
    <w:rsid w:val="00A02963"/>
    <w:rsid w:val="00A1611B"/>
    <w:rsid w:val="00A23D8E"/>
    <w:rsid w:val="00A311AF"/>
    <w:rsid w:val="00A41C3F"/>
    <w:rsid w:val="00AB56B6"/>
    <w:rsid w:val="00AC080F"/>
    <w:rsid w:val="00B025D9"/>
    <w:rsid w:val="00B60D2C"/>
    <w:rsid w:val="00BD097C"/>
    <w:rsid w:val="00BD6574"/>
    <w:rsid w:val="00BE5D7F"/>
    <w:rsid w:val="00C135DE"/>
    <w:rsid w:val="00C82731"/>
    <w:rsid w:val="00C83E1A"/>
    <w:rsid w:val="00C93794"/>
    <w:rsid w:val="00CD306B"/>
    <w:rsid w:val="00CF08AA"/>
    <w:rsid w:val="00D130D4"/>
    <w:rsid w:val="00D505E0"/>
    <w:rsid w:val="00D520FF"/>
    <w:rsid w:val="00D56D5D"/>
    <w:rsid w:val="00D844A5"/>
    <w:rsid w:val="00D87711"/>
    <w:rsid w:val="00DF6847"/>
    <w:rsid w:val="00EB69BA"/>
    <w:rsid w:val="00ED3E57"/>
    <w:rsid w:val="00EF7AD4"/>
    <w:rsid w:val="00F131E0"/>
    <w:rsid w:val="00F779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28BD4"/>
  <w15:docId w15:val="{F14E0192-DE17-414E-AC9E-48983AFB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table" w:styleId="Tabellenraster">
    <w:name w:val="Table Grid"/>
    <w:basedOn w:val="NormaleTabelle"/>
    <w:uiPriority w:val="99"/>
    <w:rsid w:val="00F7798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liesstextZchn">
    <w:name w:val="Fliesstext Zchn"/>
    <w:basedOn w:val="Absatz-Standardschriftart"/>
    <w:link w:val="Fliesstext"/>
    <w:locked/>
    <w:rsid w:val="00F77984"/>
    <w:rPr>
      <w:rFonts w:ascii="Arial" w:hAnsi="Arial" w:cs="Arial"/>
      <w:szCs w:val="24"/>
    </w:rPr>
  </w:style>
  <w:style w:type="paragraph" w:customStyle="1" w:styleId="Fliesstext">
    <w:name w:val="Fliesstext"/>
    <w:basedOn w:val="Standard"/>
    <w:link w:val="FliesstextZchn"/>
    <w:qFormat/>
    <w:rsid w:val="00F77984"/>
    <w:pPr>
      <w:spacing w:after="0" w:line="240" w:lineRule="auto"/>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5286075-C2F9-432C-AD2B-A8F056E4CC62}">
  <we:reference id="wa200002126" version="2.0.0.0" store="de-DE" storeType="OMEX"/>
  <we:alternateReferences>
    <we:reference id="wa200002126" version="2.0.0.0" store="WA200002126"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DE085374-02DA-46E2-89EC-123F44A8A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3</Pages>
  <Words>678</Words>
  <Characters>4276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Naderer Elisabeth</dc:creator>
  <cp:lastModifiedBy>Kiesenbauer, Lisa</cp:lastModifiedBy>
  <cp:revision>8</cp:revision>
  <dcterms:created xsi:type="dcterms:W3CDTF">2022-02-17T12:04:00Z</dcterms:created>
  <dcterms:modified xsi:type="dcterms:W3CDTF">2022-03-23T06:47:00Z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